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bCs/>
          <w:spacing w:val="15"/>
          <w:sz w:val="32"/>
          <w:szCs w:val="32"/>
        </w:rPr>
      </w:pPr>
    </w:p>
    <w:p>
      <w:pPr>
        <w:spacing w:line="560" w:lineRule="exact"/>
        <w:jc w:val="center"/>
        <w:rPr>
          <w:rStyle w:val="7"/>
          <w:rFonts w:ascii="黑体" w:eastAsia="黑体"/>
          <w:b w:val="0"/>
          <w:sz w:val="44"/>
          <w:szCs w:val="44"/>
        </w:rPr>
      </w:pPr>
      <w:r>
        <w:rPr>
          <w:rFonts w:hint="eastAsia" w:ascii="黑体" w:eastAsia="黑体"/>
          <w:bCs/>
          <w:spacing w:val="15"/>
          <w:sz w:val="44"/>
          <w:szCs w:val="44"/>
        </w:rPr>
        <w:t>民建嘉兴市委</w:t>
      </w:r>
      <w:r>
        <w:rPr>
          <w:rFonts w:hint="eastAsia" w:ascii="黑体" w:eastAsia="黑体"/>
          <w:bCs/>
          <w:spacing w:val="15"/>
          <w:sz w:val="44"/>
          <w:szCs w:val="44"/>
          <w:lang w:eastAsia="zh-CN"/>
        </w:rPr>
        <w:t>会</w:t>
      </w:r>
      <w:r>
        <w:rPr>
          <w:rFonts w:ascii="黑体" w:eastAsia="黑体"/>
          <w:bCs/>
          <w:spacing w:val="15"/>
          <w:sz w:val="44"/>
          <w:szCs w:val="44"/>
        </w:rPr>
        <w:t>2020</w:t>
      </w:r>
      <w:r>
        <w:rPr>
          <w:rFonts w:hint="eastAsia" w:ascii="黑体" w:eastAsia="黑体"/>
          <w:bCs/>
          <w:spacing w:val="15"/>
          <w:sz w:val="44"/>
          <w:szCs w:val="44"/>
        </w:rPr>
        <w:t>年部门预算</w:t>
      </w:r>
    </w:p>
    <w:p>
      <w:pPr>
        <w:spacing w:line="560" w:lineRule="exact"/>
        <w:ind w:firstLine="588" w:firstLineChars="196"/>
        <w:rPr>
          <w:rStyle w:val="7"/>
          <w:b w:val="0"/>
          <w:color w:val="000000"/>
          <w:sz w:val="30"/>
          <w:szCs w:val="30"/>
        </w:rPr>
      </w:pPr>
    </w:p>
    <w:p>
      <w:pPr>
        <w:spacing w:line="560" w:lineRule="exact"/>
        <w:ind w:firstLine="627" w:firstLineChars="196"/>
        <w:rPr>
          <w:rStyle w:val="7"/>
          <w:rFonts w:ascii="黑体" w:eastAsia="黑体"/>
          <w:b w:val="0"/>
          <w:color w:val="000000"/>
          <w:sz w:val="32"/>
          <w:szCs w:val="32"/>
        </w:rPr>
      </w:pPr>
      <w:r>
        <w:rPr>
          <w:rStyle w:val="7"/>
          <w:rFonts w:hint="eastAsia" w:ascii="黑体" w:eastAsia="黑体"/>
          <w:b w:val="0"/>
          <w:color w:val="000000"/>
          <w:sz w:val="32"/>
          <w:szCs w:val="32"/>
        </w:rPr>
        <w:t>一、民建嘉兴市委</w:t>
      </w:r>
      <w:r>
        <w:rPr>
          <w:rStyle w:val="7"/>
          <w:rFonts w:hint="eastAsia" w:ascii="黑体" w:eastAsia="黑体"/>
          <w:b w:val="0"/>
          <w:color w:val="000000"/>
          <w:sz w:val="32"/>
          <w:szCs w:val="32"/>
          <w:lang w:eastAsia="zh-CN"/>
        </w:rPr>
        <w:t>会</w:t>
      </w:r>
      <w:r>
        <w:rPr>
          <w:rStyle w:val="7"/>
          <w:rFonts w:hint="eastAsia" w:ascii="黑体" w:eastAsia="黑体"/>
          <w:b w:val="0"/>
          <w:color w:val="000000"/>
          <w:sz w:val="32"/>
          <w:szCs w:val="32"/>
        </w:rPr>
        <w:t>概况</w:t>
      </w:r>
    </w:p>
    <w:p>
      <w:pPr>
        <w:spacing w:line="560" w:lineRule="exact"/>
        <w:ind w:firstLine="630" w:firstLineChars="196"/>
        <w:rPr>
          <w:rFonts w:ascii="楷体_GB2312" w:hAnsi="楷体_GB2312" w:eastAsia="楷体_GB2312" w:cs="楷体_GB2312"/>
          <w:b/>
          <w:sz w:val="32"/>
          <w:szCs w:val="32"/>
        </w:rPr>
      </w:pPr>
      <w:r>
        <w:rPr>
          <w:rFonts w:hint="eastAsia" w:ascii="楷体_GB2312" w:hAnsi="楷体_GB2312" w:eastAsia="楷体_GB2312" w:cs="楷体_GB2312"/>
          <w:b/>
          <w:sz w:val="32"/>
          <w:szCs w:val="32"/>
        </w:rPr>
        <w:t>（一）主要职能</w:t>
      </w:r>
    </w:p>
    <w:p>
      <w:pPr>
        <w:spacing w:line="560" w:lineRule="exact"/>
        <w:ind w:firstLine="627" w:firstLineChars="196"/>
        <w:rPr>
          <w:rFonts w:ascii="仿宋_GB2312" w:eastAsia="仿宋_GB2312"/>
          <w:bCs/>
          <w:sz w:val="32"/>
          <w:szCs w:val="32"/>
        </w:rPr>
      </w:pPr>
      <w:r>
        <w:rPr>
          <w:rFonts w:hint="eastAsia" w:ascii="仿宋_GB2312" w:eastAsia="仿宋_GB2312"/>
          <w:bCs/>
          <w:sz w:val="32"/>
          <w:szCs w:val="32"/>
        </w:rPr>
        <w:t>中国民主建国会嘉兴市委员会主要职能为加强组织建设</w:t>
      </w:r>
      <w:r>
        <w:rPr>
          <w:rFonts w:hint="eastAsia" w:ascii="仿宋_GB2312" w:eastAsia="仿宋_GB2312"/>
          <w:bCs/>
          <w:sz w:val="32"/>
          <w:szCs w:val="32"/>
          <w:lang w:eastAsia="zh-CN"/>
        </w:rPr>
        <w:t>，</w:t>
      </w:r>
      <w:r>
        <w:rPr>
          <w:rFonts w:hint="eastAsia" w:ascii="仿宋_GB2312" w:eastAsia="仿宋_GB2312"/>
          <w:bCs/>
          <w:sz w:val="32"/>
          <w:szCs w:val="32"/>
        </w:rPr>
        <w:t>提升</w:t>
      </w:r>
      <w:r>
        <w:rPr>
          <w:rFonts w:hint="eastAsia" w:ascii="仿宋_GB2312" w:eastAsia="仿宋_GB2312"/>
          <w:bCs/>
          <w:sz w:val="32"/>
          <w:szCs w:val="32"/>
          <w:lang w:eastAsia="zh-CN"/>
        </w:rPr>
        <w:t>会</w:t>
      </w:r>
      <w:r>
        <w:rPr>
          <w:rFonts w:hint="eastAsia" w:ascii="仿宋_GB2312" w:eastAsia="仿宋_GB2312"/>
          <w:bCs/>
          <w:sz w:val="32"/>
          <w:szCs w:val="32"/>
        </w:rPr>
        <w:t>员能力</w:t>
      </w:r>
      <w:r>
        <w:rPr>
          <w:rFonts w:hint="eastAsia" w:ascii="仿宋_GB2312" w:eastAsia="仿宋_GB2312"/>
          <w:bCs/>
          <w:sz w:val="32"/>
          <w:szCs w:val="32"/>
          <w:lang w:eastAsia="zh-CN"/>
        </w:rPr>
        <w:t>，</w:t>
      </w:r>
      <w:r>
        <w:rPr>
          <w:rFonts w:hint="eastAsia" w:ascii="仿宋_GB2312" w:eastAsia="仿宋_GB2312"/>
          <w:bCs/>
          <w:sz w:val="32"/>
          <w:szCs w:val="32"/>
        </w:rPr>
        <w:t>发挥党派特色，履行参政议政、民主监督、社会服务等职能。致力于建设</w:t>
      </w:r>
      <w:r>
        <w:fldChar w:fldCharType="begin"/>
      </w:r>
      <w:r>
        <w:instrText xml:space="preserve"> HYPERLINK "http://baike.baidu.com/view/51025.htm" \t "_blank" </w:instrText>
      </w:r>
      <w:r>
        <w:fldChar w:fldCharType="separate"/>
      </w:r>
      <w:r>
        <w:rPr>
          <w:rFonts w:hint="eastAsia" w:ascii="仿宋_GB2312" w:eastAsia="仿宋_GB2312"/>
          <w:bCs/>
          <w:sz w:val="32"/>
          <w:szCs w:val="32"/>
        </w:rPr>
        <w:t>中国特色社会主义</w:t>
      </w:r>
      <w:r>
        <w:rPr>
          <w:rFonts w:hint="eastAsia" w:ascii="仿宋_GB2312" w:eastAsia="仿宋_GB2312"/>
          <w:bCs/>
          <w:sz w:val="32"/>
          <w:szCs w:val="32"/>
        </w:rPr>
        <w:fldChar w:fldCharType="end"/>
      </w:r>
      <w:r>
        <w:rPr>
          <w:rFonts w:hint="eastAsia" w:ascii="仿宋_GB2312" w:eastAsia="仿宋_GB2312"/>
          <w:bCs/>
          <w:sz w:val="32"/>
          <w:szCs w:val="32"/>
        </w:rPr>
        <w:t>事业，致力于发展社会主义先进文化，致力于以改善民生为重点的社会</w:t>
      </w:r>
      <w:r>
        <w:rPr>
          <w:rFonts w:hint="eastAsia" w:ascii="仿宋_GB2312" w:eastAsia="仿宋_GB2312"/>
          <w:bCs/>
          <w:sz w:val="32"/>
          <w:szCs w:val="32"/>
          <w:lang w:eastAsia="zh-CN"/>
        </w:rPr>
        <w:t>主义</w:t>
      </w:r>
      <w:r>
        <w:rPr>
          <w:rFonts w:hint="eastAsia" w:ascii="仿宋_GB2312" w:eastAsia="仿宋_GB2312"/>
          <w:bCs/>
          <w:sz w:val="32"/>
          <w:szCs w:val="32"/>
        </w:rPr>
        <w:t>建设。</w:t>
      </w:r>
    </w:p>
    <w:p>
      <w:pPr>
        <w:spacing w:line="560" w:lineRule="exact"/>
        <w:ind w:firstLine="630" w:firstLineChars="196"/>
        <w:rPr>
          <w:rFonts w:ascii="楷体_GB2312" w:hAnsi="楷体_GB2312" w:eastAsia="楷体_GB2312" w:cs="楷体_GB2312"/>
          <w:b/>
          <w:sz w:val="32"/>
          <w:szCs w:val="32"/>
        </w:rPr>
      </w:pPr>
      <w:r>
        <w:rPr>
          <w:rFonts w:hint="eastAsia" w:ascii="楷体_GB2312" w:hAnsi="楷体_GB2312" w:eastAsia="楷体_GB2312" w:cs="楷体_GB2312"/>
          <w:b/>
          <w:sz w:val="32"/>
          <w:szCs w:val="32"/>
        </w:rPr>
        <w:t>（二）部门预算单位构成</w:t>
      </w:r>
    </w:p>
    <w:p>
      <w:pPr>
        <w:spacing w:line="560" w:lineRule="exact"/>
        <w:ind w:firstLine="627" w:firstLineChars="196"/>
        <w:rPr>
          <w:rFonts w:ascii="仿宋_GB2312" w:eastAsia="仿宋_GB2312"/>
          <w:bCs/>
          <w:sz w:val="32"/>
          <w:szCs w:val="32"/>
        </w:rPr>
      </w:pPr>
      <w:r>
        <w:rPr>
          <w:rFonts w:hint="eastAsia" w:ascii="仿宋_GB2312" w:eastAsia="仿宋_GB2312"/>
          <w:bCs/>
          <w:sz w:val="32"/>
          <w:szCs w:val="32"/>
        </w:rPr>
        <w:t>从预算单位构成看，民建嘉兴市委</w:t>
      </w:r>
      <w:r>
        <w:rPr>
          <w:rFonts w:hint="eastAsia" w:ascii="仿宋_GB2312" w:eastAsia="仿宋_GB2312"/>
          <w:bCs/>
          <w:sz w:val="32"/>
          <w:szCs w:val="32"/>
          <w:lang w:eastAsia="zh-CN"/>
        </w:rPr>
        <w:t>会</w:t>
      </w:r>
      <w:r>
        <w:rPr>
          <w:rFonts w:hint="eastAsia" w:ascii="仿宋_GB2312" w:eastAsia="仿宋_GB2312"/>
          <w:bCs/>
          <w:sz w:val="32"/>
          <w:szCs w:val="32"/>
        </w:rPr>
        <w:t>部门预算包括本级预算。</w:t>
      </w:r>
    </w:p>
    <w:p>
      <w:pPr>
        <w:numPr>
          <w:ilvl w:val="0"/>
          <w:numId w:val="1"/>
        </w:numPr>
        <w:spacing w:line="560" w:lineRule="exact"/>
        <w:ind w:firstLine="627" w:firstLineChars="196"/>
        <w:rPr>
          <w:rFonts w:ascii="楷体_GB2312" w:hAnsi="楷体_GB2312" w:eastAsia="楷体_GB2312" w:cs="楷体_GB2312"/>
          <w:b/>
          <w:color w:val="000000"/>
          <w:sz w:val="32"/>
          <w:szCs w:val="32"/>
        </w:rPr>
      </w:pPr>
      <w:r>
        <w:rPr>
          <w:rStyle w:val="7"/>
          <w:rFonts w:hint="eastAsia" w:ascii="黑体" w:eastAsia="黑体"/>
          <w:b w:val="0"/>
          <w:color w:val="000000"/>
          <w:sz w:val="32"/>
          <w:szCs w:val="32"/>
        </w:rPr>
        <w:t>民建嘉兴市委2020年部门预算安排情况说明</w:t>
      </w:r>
      <w:r>
        <w:rPr>
          <w:rStyle w:val="7"/>
          <w:rFonts w:ascii="黑体" w:eastAsia="黑体"/>
          <w:szCs w:val="32"/>
        </w:rPr>
        <w:br w:type="textWrapping"/>
      </w:r>
      <w:r>
        <w:rPr>
          <w:rFonts w:hint="eastAsia" w:ascii="仿宋_GB2312" w:eastAsia="仿宋_GB2312"/>
          <w:color w:val="000000"/>
          <w:sz w:val="30"/>
          <w:szCs w:val="30"/>
        </w:rPr>
        <w:t>　　</w:t>
      </w:r>
      <w:r>
        <w:rPr>
          <w:rFonts w:hint="eastAsia" w:ascii="楷体_GB2312" w:hAnsi="楷体_GB2312" w:eastAsia="楷体_GB2312" w:cs="楷体_GB2312"/>
          <w:b/>
          <w:color w:val="000000"/>
          <w:sz w:val="32"/>
          <w:szCs w:val="32"/>
        </w:rPr>
        <w:t>（一）</w:t>
      </w:r>
      <w:r>
        <w:rPr>
          <w:rStyle w:val="7"/>
          <w:rFonts w:hint="eastAsia" w:ascii="楷体_GB2312" w:hAnsi="楷体_GB2312" w:eastAsia="楷体_GB2312" w:cs="楷体_GB2312"/>
          <w:color w:val="000000"/>
          <w:sz w:val="32"/>
          <w:szCs w:val="32"/>
        </w:rPr>
        <w:t>民建嘉兴市委</w:t>
      </w:r>
      <w:r>
        <w:rPr>
          <w:rStyle w:val="7"/>
          <w:rFonts w:hint="eastAsia" w:ascii="楷体_GB2312" w:hAnsi="楷体_GB2312" w:eastAsia="楷体_GB2312" w:cs="楷体_GB2312"/>
          <w:color w:val="000000"/>
          <w:sz w:val="32"/>
          <w:szCs w:val="32"/>
          <w:lang w:eastAsia="zh-CN"/>
        </w:rPr>
        <w:t>会</w:t>
      </w:r>
      <w:r>
        <w:rPr>
          <w:rStyle w:val="7"/>
          <w:rFonts w:hint="eastAsia" w:ascii="楷体_GB2312" w:hAnsi="楷体_GB2312" w:eastAsia="楷体_GB2312" w:cs="楷体_GB2312"/>
          <w:color w:val="000000"/>
          <w:sz w:val="32"/>
          <w:szCs w:val="32"/>
        </w:rPr>
        <w:t>2020年收支预算情况的总体说明</w:t>
      </w:r>
    </w:p>
    <w:p>
      <w:pPr>
        <w:spacing w:line="560" w:lineRule="exact"/>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 xml:space="preserve">   </w:t>
      </w:r>
      <w:r>
        <w:rPr>
          <w:rFonts w:hint="eastAsia" w:ascii="仿宋_GB2312" w:eastAsia="仿宋_GB2312"/>
          <w:bCs/>
          <w:color w:val="000000"/>
          <w:sz w:val="32"/>
          <w:szCs w:val="32"/>
        </w:rPr>
        <w:t xml:space="preserve"> 按照</w:t>
      </w:r>
      <w:r>
        <w:rPr>
          <w:rFonts w:hint="eastAsia" w:ascii="仿宋_GB2312" w:eastAsia="仿宋_GB2312"/>
          <w:bCs/>
          <w:sz w:val="32"/>
          <w:szCs w:val="32"/>
        </w:rPr>
        <w:t>综合预算的原则</w:t>
      </w:r>
      <w:r>
        <w:rPr>
          <w:rFonts w:hint="eastAsia" w:ascii="仿宋_GB2312" w:eastAsia="仿宋_GB2312"/>
          <w:color w:val="000000"/>
          <w:sz w:val="32"/>
          <w:szCs w:val="32"/>
        </w:rPr>
        <w:t>，民建嘉兴市委</w:t>
      </w:r>
      <w:r>
        <w:rPr>
          <w:rFonts w:hint="eastAsia" w:ascii="仿宋_GB2312" w:eastAsia="仿宋_GB2312"/>
          <w:color w:val="000000"/>
          <w:sz w:val="32"/>
          <w:szCs w:val="32"/>
          <w:lang w:eastAsia="zh-CN"/>
        </w:rPr>
        <w:t>会</w:t>
      </w:r>
      <w:r>
        <w:rPr>
          <w:rFonts w:hint="eastAsia" w:ascii="仿宋_GB2312" w:eastAsia="仿宋_GB2312"/>
          <w:color w:val="000000"/>
          <w:sz w:val="32"/>
          <w:szCs w:val="32"/>
        </w:rPr>
        <w:t>所有收入和支出均纳入部门预算管理。收入包括：一般公共预算收入；支出包括：一般公共服务支出</w:t>
      </w:r>
      <w:r>
        <w:rPr>
          <w:rFonts w:hint="eastAsia" w:ascii="仿宋_GB2312" w:eastAsia="仿宋_GB2312"/>
          <w:color w:val="000000"/>
          <w:spacing w:val="-20"/>
          <w:sz w:val="32"/>
          <w:szCs w:val="32"/>
        </w:rPr>
        <w:t>、社会保障和就业支出、住房保障支出。民建嘉兴市委</w:t>
      </w:r>
      <w:r>
        <w:rPr>
          <w:rFonts w:hint="eastAsia" w:ascii="仿宋_GB2312" w:eastAsia="仿宋_GB2312"/>
          <w:color w:val="000000"/>
          <w:spacing w:val="-20"/>
          <w:sz w:val="32"/>
          <w:szCs w:val="32"/>
          <w:lang w:eastAsia="zh-CN"/>
        </w:rPr>
        <w:t>会</w:t>
      </w:r>
      <w:r>
        <w:rPr>
          <w:rFonts w:hint="eastAsia" w:ascii="仿宋_GB2312" w:eastAsia="仿宋_GB2312"/>
          <w:color w:val="000000"/>
          <w:sz w:val="32"/>
          <w:szCs w:val="32"/>
        </w:rPr>
        <w:t>2020年收支总预算</w:t>
      </w:r>
      <w:r>
        <w:rPr>
          <w:rFonts w:hint="eastAsia" w:ascii="仿宋_GB2312" w:eastAsia="仿宋_GB2312"/>
          <w:color w:val="000000"/>
          <w:spacing w:val="-20"/>
          <w:sz w:val="32"/>
          <w:szCs w:val="32"/>
        </w:rPr>
        <w:t>192.57</w:t>
      </w:r>
      <w:r>
        <w:rPr>
          <w:rFonts w:hint="eastAsia" w:ascii="仿宋_GB2312" w:eastAsia="仿宋_GB2312"/>
          <w:color w:val="000000"/>
          <w:sz w:val="32"/>
          <w:szCs w:val="32"/>
        </w:rPr>
        <w:t>万元。</w:t>
      </w:r>
    </w:p>
    <w:p>
      <w:pPr>
        <w:spacing w:line="550" w:lineRule="exact"/>
        <w:ind w:firstLine="642"/>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（二）关于民建嘉兴市委</w:t>
      </w:r>
      <w:r>
        <w:rPr>
          <w:rFonts w:hint="eastAsia" w:ascii="楷体_GB2312" w:hAnsi="楷体_GB2312" w:eastAsia="楷体_GB2312" w:cs="楷体_GB2312"/>
          <w:b/>
          <w:color w:val="000000"/>
          <w:sz w:val="32"/>
          <w:szCs w:val="32"/>
          <w:lang w:eastAsia="zh-CN"/>
        </w:rPr>
        <w:t>会</w:t>
      </w:r>
      <w:r>
        <w:rPr>
          <w:rFonts w:hint="eastAsia" w:ascii="楷体_GB2312" w:hAnsi="楷体_GB2312" w:eastAsia="楷体_GB2312" w:cs="楷体_GB2312"/>
          <w:b/>
          <w:color w:val="000000"/>
          <w:sz w:val="32"/>
          <w:szCs w:val="32"/>
        </w:rPr>
        <w:t>2020年收入预算情况说明</w:t>
      </w:r>
    </w:p>
    <w:p>
      <w:pPr>
        <w:spacing w:line="550" w:lineRule="exact"/>
        <w:ind w:firstLine="642"/>
        <w:rPr>
          <w:rFonts w:hint="eastAsia" w:ascii="楷体_GB2312" w:hAnsi="楷体_GB2312" w:eastAsia="楷体_GB2312" w:cs="楷体_GB2312"/>
          <w:b/>
          <w:color w:val="000000"/>
          <w:sz w:val="32"/>
          <w:szCs w:val="32"/>
        </w:rPr>
      </w:pPr>
      <w:r>
        <w:rPr>
          <w:rFonts w:hint="eastAsia" w:ascii="仿宋_GB2312" w:eastAsia="仿宋_GB2312"/>
          <w:color w:val="000000"/>
          <w:spacing w:val="-20"/>
          <w:sz w:val="32"/>
          <w:szCs w:val="32"/>
        </w:rPr>
        <w:t>民建嘉兴市委</w:t>
      </w:r>
      <w:r>
        <w:rPr>
          <w:rFonts w:hint="eastAsia" w:ascii="仿宋_GB2312" w:eastAsia="仿宋_GB2312"/>
          <w:color w:val="000000"/>
          <w:spacing w:val="-20"/>
          <w:sz w:val="32"/>
          <w:szCs w:val="32"/>
          <w:lang w:eastAsia="zh-CN"/>
        </w:rPr>
        <w:t>会</w:t>
      </w:r>
      <w:r>
        <w:rPr>
          <w:rFonts w:hint="eastAsia" w:ascii="仿宋_GB2312" w:eastAsia="仿宋_GB2312"/>
          <w:color w:val="000000"/>
          <w:sz w:val="32"/>
          <w:szCs w:val="32"/>
        </w:rPr>
        <w:t>2020年收入预算</w:t>
      </w:r>
      <w:r>
        <w:rPr>
          <w:rFonts w:hint="eastAsia" w:ascii="仿宋_GB2312" w:eastAsia="仿宋_GB2312"/>
          <w:color w:val="000000"/>
          <w:spacing w:val="-20"/>
          <w:sz w:val="32"/>
          <w:szCs w:val="32"/>
        </w:rPr>
        <w:t>192.57</w:t>
      </w:r>
      <w:r>
        <w:rPr>
          <w:rFonts w:hint="eastAsia" w:ascii="仿宋_GB2312" w:eastAsia="仿宋_GB2312"/>
          <w:color w:val="000000"/>
          <w:sz w:val="32"/>
          <w:szCs w:val="32"/>
        </w:rPr>
        <w:t>万元，其中：一般公共预算收入</w:t>
      </w:r>
      <w:r>
        <w:rPr>
          <w:rFonts w:hint="eastAsia" w:ascii="仿宋_GB2312" w:eastAsia="仿宋_GB2312"/>
          <w:color w:val="000000"/>
          <w:spacing w:val="-20"/>
          <w:sz w:val="32"/>
          <w:szCs w:val="32"/>
        </w:rPr>
        <w:t>192.57</w:t>
      </w:r>
      <w:r>
        <w:rPr>
          <w:rFonts w:hint="eastAsia" w:ascii="仿宋_GB2312" w:eastAsia="仿宋_GB2312"/>
          <w:color w:val="000000"/>
          <w:sz w:val="32"/>
          <w:szCs w:val="32"/>
        </w:rPr>
        <w:t>万元，占</w:t>
      </w:r>
      <w:r>
        <w:rPr>
          <w:rFonts w:hint="eastAsia" w:ascii="仿宋_GB2312" w:eastAsia="仿宋_GB2312"/>
          <w:color w:val="000000"/>
          <w:spacing w:val="-20"/>
          <w:sz w:val="32"/>
          <w:szCs w:val="32"/>
        </w:rPr>
        <w:t>100</w:t>
      </w:r>
      <w:r>
        <w:rPr>
          <w:rFonts w:hint="eastAsia" w:ascii="仿宋_GB2312" w:eastAsia="仿宋_GB2312"/>
          <w:color w:val="000000"/>
          <w:spacing w:val="-20"/>
          <w:sz w:val="32"/>
          <w:szCs w:val="32"/>
          <w:lang w:val="en-US" w:eastAsia="zh-CN"/>
        </w:rPr>
        <w:t>.0</w:t>
      </w:r>
      <w:r>
        <w:rPr>
          <w:rFonts w:hint="eastAsia" w:ascii="仿宋_GB2312" w:eastAsia="仿宋_GB2312"/>
          <w:color w:val="000000"/>
          <w:sz w:val="32"/>
          <w:szCs w:val="32"/>
        </w:rPr>
        <w:t>%。</w:t>
      </w:r>
      <w:r>
        <w:rPr>
          <w:rFonts w:hint="eastAsia" w:ascii="仿宋_GB2312" w:eastAsia="仿宋_GB2312"/>
          <w:color w:val="000000"/>
          <w:sz w:val="32"/>
          <w:szCs w:val="32"/>
        </w:rPr>
        <w:br w:type="textWrapping"/>
      </w:r>
      <w:r>
        <w:rPr>
          <w:rFonts w:hint="eastAsia" w:ascii="楷体_GB2312" w:hAnsi="楷体_GB2312" w:eastAsia="楷体_GB2312" w:cs="楷体_GB2312"/>
          <w:b/>
          <w:color w:val="000000"/>
          <w:sz w:val="32"/>
          <w:szCs w:val="32"/>
        </w:rPr>
        <w:t>　　</w:t>
      </w:r>
    </w:p>
    <w:p>
      <w:pPr>
        <w:spacing w:line="550" w:lineRule="exact"/>
        <w:ind w:firstLine="642"/>
        <w:rPr>
          <w:rFonts w:hint="eastAsia" w:ascii="楷体_GB2312" w:hAnsi="楷体_GB2312" w:eastAsia="楷体_GB2312" w:cs="楷体_GB2312"/>
          <w:b/>
          <w:color w:val="000000"/>
          <w:sz w:val="32"/>
          <w:szCs w:val="32"/>
        </w:rPr>
      </w:pPr>
    </w:p>
    <w:p>
      <w:pPr>
        <w:spacing w:line="550" w:lineRule="exact"/>
        <w:ind w:firstLine="642"/>
        <w:rPr>
          <w:rFonts w:ascii="仿宋_GB2312" w:eastAsia="仿宋_GB2312"/>
          <w:color w:val="000000"/>
          <w:sz w:val="32"/>
          <w:szCs w:val="32"/>
        </w:rPr>
      </w:pPr>
      <w:r>
        <w:rPr>
          <w:rFonts w:hint="eastAsia" w:ascii="楷体_GB2312" w:hAnsi="楷体_GB2312" w:eastAsia="楷体_GB2312" w:cs="楷体_GB2312"/>
          <w:b/>
          <w:color w:val="000000"/>
          <w:sz w:val="32"/>
          <w:szCs w:val="32"/>
        </w:rPr>
        <w:t>（三）关于民建嘉兴市委</w:t>
      </w:r>
      <w:r>
        <w:rPr>
          <w:rFonts w:hint="eastAsia" w:ascii="楷体_GB2312" w:hAnsi="楷体_GB2312" w:eastAsia="楷体_GB2312" w:cs="楷体_GB2312"/>
          <w:b/>
          <w:color w:val="000000"/>
          <w:sz w:val="32"/>
          <w:szCs w:val="32"/>
          <w:lang w:eastAsia="zh-CN"/>
        </w:rPr>
        <w:t>会</w:t>
      </w:r>
      <w:r>
        <w:rPr>
          <w:rFonts w:hint="eastAsia" w:ascii="楷体_GB2312" w:hAnsi="楷体_GB2312" w:eastAsia="楷体_GB2312" w:cs="楷体_GB2312"/>
          <w:b/>
          <w:color w:val="000000"/>
          <w:sz w:val="32"/>
          <w:szCs w:val="32"/>
        </w:rPr>
        <w:t>2020年支出预算情况说明</w:t>
      </w:r>
      <w:r>
        <w:rPr>
          <w:rFonts w:hint="eastAsia" w:ascii="仿宋_GB2312" w:eastAsia="仿宋_GB2312"/>
          <w:color w:val="000000"/>
          <w:sz w:val="32"/>
          <w:szCs w:val="32"/>
        </w:rPr>
        <w:br w:type="textWrapping"/>
      </w:r>
      <w:r>
        <w:rPr>
          <w:rFonts w:hint="eastAsia" w:ascii="仿宋_GB2312" w:eastAsia="仿宋_GB2312"/>
          <w:color w:val="000000"/>
          <w:sz w:val="32"/>
          <w:szCs w:val="32"/>
        </w:rPr>
        <w:t>　　</w:t>
      </w:r>
      <w:r>
        <w:rPr>
          <w:rFonts w:hint="eastAsia" w:ascii="仿宋_GB2312" w:eastAsia="仿宋_GB2312"/>
          <w:color w:val="000000"/>
          <w:spacing w:val="-20"/>
          <w:sz w:val="32"/>
          <w:szCs w:val="32"/>
        </w:rPr>
        <w:t>民建嘉兴市委</w:t>
      </w:r>
      <w:r>
        <w:rPr>
          <w:rFonts w:hint="eastAsia" w:ascii="仿宋_GB2312" w:eastAsia="仿宋_GB2312"/>
          <w:color w:val="000000"/>
          <w:spacing w:val="-20"/>
          <w:sz w:val="32"/>
          <w:szCs w:val="32"/>
          <w:lang w:eastAsia="zh-CN"/>
        </w:rPr>
        <w:t>会</w:t>
      </w:r>
      <w:r>
        <w:rPr>
          <w:rFonts w:hint="eastAsia" w:ascii="仿宋_GB2312" w:eastAsia="仿宋_GB2312"/>
          <w:color w:val="000000"/>
          <w:sz w:val="32"/>
          <w:szCs w:val="32"/>
        </w:rPr>
        <w:t>2020年支出预算192.57万元。</w:t>
      </w:r>
    </w:p>
    <w:p>
      <w:pPr>
        <w:spacing w:line="550" w:lineRule="exact"/>
        <w:ind w:firstLine="630"/>
        <w:rPr>
          <w:rFonts w:ascii="仿宋_GB2312" w:eastAsia="仿宋_GB2312"/>
          <w:color w:val="000000"/>
          <w:sz w:val="32"/>
          <w:szCs w:val="32"/>
        </w:rPr>
      </w:pPr>
      <w:r>
        <w:rPr>
          <w:rFonts w:hint="eastAsia" w:ascii="仿宋_GB2312" w:eastAsia="仿宋_GB2312"/>
          <w:color w:val="000000"/>
          <w:sz w:val="32"/>
          <w:szCs w:val="32"/>
        </w:rPr>
        <w:t>1.按支出功能分类，包括一般公共服务支出167.54万元、</w:t>
      </w:r>
      <w:r>
        <w:rPr>
          <w:rFonts w:hint="eastAsia" w:ascii="仿宋_GB2312" w:eastAsia="仿宋_GB2312"/>
          <w:color w:val="000000"/>
          <w:spacing w:val="-20"/>
          <w:sz w:val="32"/>
          <w:szCs w:val="32"/>
        </w:rPr>
        <w:t>社会保障和就业支出14.07</w:t>
      </w:r>
      <w:r>
        <w:rPr>
          <w:rFonts w:hint="eastAsia" w:ascii="仿宋_GB2312" w:eastAsia="仿宋_GB2312"/>
          <w:color w:val="000000"/>
          <w:sz w:val="32"/>
          <w:szCs w:val="32"/>
        </w:rPr>
        <w:t>万元</w:t>
      </w:r>
      <w:r>
        <w:rPr>
          <w:rFonts w:hint="eastAsia" w:ascii="仿宋_GB2312" w:eastAsia="仿宋_GB2312"/>
          <w:color w:val="000000"/>
          <w:spacing w:val="-20"/>
          <w:sz w:val="32"/>
          <w:szCs w:val="32"/>
        </w:rPr>
        <w:t>、住房保障支出</w:t>
      </w:r>
      <w:r>
        <w:rPr>
          <w:rFonts w:hint="eastAsia" w:ascii="仿宋_GB2312" w:eastAsia="仿宋_GB2312"/>
          <w:color w:val="000000"/>
          <w:sz w:val="32"/>
          <w:szCs w:val="32"/>
        </w:rPr>
        <w:t>10.96万。</w:t>
      </w:r>
    </w:p>
    <w:p>
      <w:pPr>
        <w:spacing w:line="550" w:lineRule="exact"/>
        <w:ind w:firstLine="630"/>
        <w:rPr>
          <w:rFonts w:ascii="仿宋_GB2312" w:eastAsia="仿宋_GB2312"/>
          <w:color w:val="000000"/>
          <w:sz w:val="32"/>
          <w:szCs w:val="32"/>
        </w:rPr>
      </w:pPr>
      <w:r>
        <w:rPr>
          <w:rFonts w:hint="eastAsia" w:ascii="仿宋_GB2312" w:eastAsia="仿宋_GB2312"/>
          <w:color w:val="000000"/>
          <w:sz w:val="32"/>
          <w:szCs w:val="32"/>
        </w:rPr>
        <w:t>2.按支出用途分类，包括人员支出104.85万元，占</w:t>
      </w:r>
      <w:r>
        <w:rPr>
          <w:rFonts w:hint="eastAsia" w:ascii="仿宋_GB2312" w:eastAsia="仿宋_GB2312"/>
          <w:color w:val="000000"/>
          <w:spacing w:val="-20"/>
          <w:sz w:val="32"/>
          <w:szCs w:val="32"/>
        </w:rPr>
        <w:t>54.</w:t>
      </w:r>
      <w:r>
        <w:rPr>
          <w:rFonts w:hint="eastAsia" w:ascii="仿宋_GB2312" w:eastAsia="仿宋_GB2312"/>
          <w:color w:val="000000"/>
          <w:spacing w:val="-20"/>
          <w:sz w:val="32"/>
          <w:szCs w:val="32"/>
          <w:lang w:val="en-US" w:eastAsia="zh-CN"/>
        </w:rPr>
        <w:t>5</w:t>
      </w:r>
      <w:r>
        <w:rPr>
          <w:rFonts w:hint="eastAsia" w:ascii="仿宋_GB2312" w:eastAsia="仿宋_GB2312"/>
          <w:color w:val="000000"/>
          <w:sz w:val="32"/>
          <w:szCs w:val="32"/>
        </w:rPr>
        <w:t>%；日常公用支出64.77万元，占</w:t>
      </w:r>
      <w:r>
        <w:rPr>
          <w:rFonts w:hint="eastAsia" w:ascii="仿宋_GB2312" w:eastAsia="仿宋_GB2312"/>
          <w:color w:val="000000"/>
          <w:spacing w:val="-20"/>
          <w:sz w:val="32"/>
          <w:szCs w:val="32"/>
        </w:rPr>
        <w:t>33.6</w:t>
      </w:r>
      <w:r>
        <w:rPr>
          <w:rFonts w:hint="eastAsia" w:ascii="仿宋_GB2312" w:eastAsia="仿宋_GB2312"/>
          <w:color w:val="000000"/>
          <w:sz w:val="32"/>
          <w:szCs w:val="32"/>
        </w:rPr>
        <w:t>%；项目支出22.95万元，占</w:t>
      </w:r>
      <w:r>
        <w:rPr>
          <w:rFonts w:hint="eastAsia" w:ascii="仿宋_GB2312" w:eastAsia="仿宋_GB2312"/>
          <w:color w:val="000000"/>
          <w:spacing w:val="-20"/>
          <w:sz w:val="32"/>
          <w:szCs w:val="32"/>
        </w:rPr>
        <w:t>11.9</w:t>
      </w:r>
      <w:r>
        <w:rPr>
          <w:rFonts w:hint="eastAsia" w:ascii="仿宋_GB2312" w:eastAsia="仿宋_GB2312"/>
          <w:color w:val="000000"/>
          <w:sz w:val="32"/>
          <w:szCs w:val="32"/>
        </w:rPr>
        <w:t>%。</w:t>
      </w:r>
    </w:p>
    <w:p>
      <w:pPr>
        <w:spacing w:line="550" w:lineRule="exact"/>
        <w:ind w:firstLine="630" w:firstLineChars="196"/>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（四）关于民建嘉兴市委</w:t>
      </w:r>
      <w:r>
        <w:rPr>
          <w:rFonts w:hint="eastAsia" w:ascii="楷体_GB2312" w:hAnsi="楷体_GB2312" w:eastAsia="楷体_GB2312" w:cs="楷体_GB2312"/>
          <w:b/>
          <w:color w:val="000000"/>
          <w:sz w:val="32"/>
          <w:szCs w:val="32"/>
          <w:lang w:eastAsia="zh-CN"/>
        </w:rPr>
        <w:t>会</w:t>
      </w:r>
      <w:r>
        <w:rPr>
          <w:rFonts w:hint="eastAsia" w:ascii="楷体_GB2312" w:hAnsi="楷体_GB2312" w:eastAsia="楷体_GB2312" w:cs="楷体_GB2312"/>
          <w:b/>
          <w:color w:val="000000"/>
          <w:sz w:val="32"/>
          <w:szCs w:val="32"/>
        </w:rPr>
        <w:t>2020年财政拨款收支预算情况的总体说明</w:t>
      </w:r>
    </w:p>
    <w:p>
      <w:pPr>
        <w:spacing w:line="550" w:lineRule="exact"/>
        <w:ind w:firstLine="630"/>
        <w:rPr>
          <w:rFonts w:ascii="仿宋_GB2312" w:eastAsia="仿宋_GB2312"/>
          <w:color w:val="000000"/>
          <w:sz w:val="32"/>
          <w:szCs w:val="32"/>
        </w:rPr>
      </w:pPr>
      <w:r>
        <w:rPr>
          <w:rFonts w:hint="eastAsia" w:ascii="仿宋_GB2312" w:eastAsia="仿宋_GB2312"/>
          <w:color w:val="000000"/>
          <w:spacing w:val="-20"/>
          <w:sz w:val="32"/>
          <w:szCs w:val="32"/>
        </w:rPr>
        <w:t>民建嘉兴市委</w:t>
      </w:r>
      <w:r>
        <w:rPr>
          <w:rFonts w:hint="eastAsia" w:ascii="仿宋_GB2312" w:eastAsia="仿宋_GB2312"/>
          <w:color w:val="000000"/>
          <w:spacing w:val="-20"/>
          <w:sz w:val="32"/>
          <w:szCs w:val="32"/>
          <w:lang w:eastAsia="zh-CN"/>
        </w:rPr>
        <w:t>会</w:t>
      </w:r>
      <w:r>
        <w:rPr>
          <w:rFonts w:hint="eastAsia" w:ascii="仿宋_GB2312" w:eastAsia="仿宋_GB2312"/>
          <w:color w:val="000000"/>
          <w:sz w:val="32"/>
          <w:szCs w:val="32"/>
        </w:rPr>
        <w:t>2020年财政拨款收支总预算192.57万元。包括：一般公共预算收入192.57万元；支出包括：一般公共服务支出167.54万元、</w:t>
      </w:r>
      <w:r>
        <w:rPr>
          <w:rFonts w:hint="eastAsia" w:ascii="仿宋_GB2312" w:eastAsia="仿宋_GB2312"/>
          <w:color w:val="000000"/>
          <w:spacing w:val="-20"/>
          <w:sz w:val="32"/>
          <w:szCs w:val="32"/>
        </w:rPr>
        <w:t>社会保障和就业支出</w:t>
      </w:r>
      <w:r>
        <w:rPr>
          <w:rFonts w:hint="eastAsia" w:ascii="仿宋_GB2312" w:eastAsia="仿宋_GB2312"/>
          <w:color w:val="000000"/>
          <w:sz w:val="32"/>
          <w:szCs w:val="32"/>
        </w:rPr>
        <w:t>14.07万元</w:t>
      </w:r>
      <w:r>
        <w:rPr>
          <w:rFonts w:hint="eastAsia" w:ascii="仿宋_GB2312" w:eastAsia="仿宋_GB2312"/>
          <w:color w:val="000000"/>
          <w:spacing w:val="-20"/>
          <w:sz w:val="32"/>
          <w:szCs w:val="32"/>
        </w:rPr>
        <w:t>、住房保障支出</w:t>
      </w:r>
      <w:r>
        <w:rPr>
          <w:rFonts w:hint="eastAsia" w:ascii="仿宋_GB2312" w:eastAsia="仿宋_GB2312"/>
          <w:color w:val="000000"/>
          <w:sz w:val="32"/>
          <w:szCs w:val="32"/>
        </w:rPr>
        <w:t>10.96万元</w:t>
      </w:r>
      <w:r>
        <w:rPr>
          <w:rFonts w:hint="eastAsia" w:ascii="仿宋_GB2312" w:eastAsia="仿宋_GB2312"/>
          <w:color w:val="000000"/>
          <w:spacing w:val="-20"/>
          <w:sz w:val="32"/>
          <w:szCs w:val="32"/>
        </w:rPr>
        <w:t>。</w:t>
      </w:r>
    </w:p>
    <w:p>
      <w:pPr>
        <w:numPr>
          <w:ilvl w:val="0"/>
          <w:numId w:val="2"/>
        </w:numPr>
        <w:spacing w:line="550" w:lineRule="exact"/>
        <w:ind w:firstLine="64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关于民建嘉兴市委</w:t>
      </w:r>
      <w:r>
        <w:rPr>
          <w:rFonts w:hint="eastAsia" w:ascii="楷体_GB2312" w:hAnsi="楷体_GB2312" w:eastAsia="楷体_GB2312" w:cs="楷体_GB2312"/>
          <w:b/>
          <w:color w:val="000000"/>
          <w:sz w:val="32"/>
          <w:szCs w:val="32"/>
          <w:lang w:eastAsia="zh-CN"/>
        </w:rPr>
        <w:t>会</w:t>
      </w:r>
      <w:r>
        <w:rPr>
          <w:rFonts w:hint="eastAsia" w:ascii="楷体_GB2312" w:hAnsi="楷体_GB2312" w:eastAsia="楷体_GB2312" w:cs="楷体_GB2312"/>
          <w:b/>
          <w:color w:val="000000"/>
          <w:sz w:val="32"/>
          <w:szCs w:val="32"/>
        </w:rPr>
        <w:t>2020年一般公共预算当年拨款情况说明</w:t>
      </w:r>
    </w:p>
    <w:p>
      <w:pPr>
        <w:spacing w:line="550" w:lineRule="exact"/>
        <w:ind w:firstLine="642"/>
        <w:rPr>
          <w:rFonts w:ascii="仿宋" w:hAnsi="仿宋" w:eastAsia="仿宋" w:cs="楷体_GB2312"/>
          <w:b/>
          <w:color w:val="000000"/>
          <w:sz w:val="32"/>
          <w:szCs w:val="32"/>
        </w:rPr>
      </w:pPr>
      <w:r>
        <w:rPr>
          <w:rFonts w:ascii="仿宋" w:hAnsi="仿宋" w:eastAsia="仿宋" w:cs="楷体_GB2312"/>
          <w:b/>
          <w:color w:val="000000"/>
          <w:sz w:val="32"/>
          <w:szCs w:val="32"/>
        </w:rPr>
        <w:t>1.一般公共预算当年拨款规模变化情况</w:t>
      </w:r>
    </w:p>
    <w:p>
      <w:pPr>
        <w:spacing w:line="560" w:lineRule="exact"/>
        <w:ind w:firstLine="627" w:firstLineChars="196"/>
        <w:rPr>
          <w:rFonts w:hint="eastAsia" w:ascii="仿宋_GB2312" w:eastAsia="仿宋_GB2312"/>
          <w:bCs/>
          <w:sz w:val="32"/>
          <w:szCs w:val="32"/>
        </w:rPr>
      </w:pPr>
      <w:r>
        <w:rPr>
          <w:rFonts w:hint="eastAsia" w:ascii="仿宋_GB2312" w:eastAsia="仿宋_GB2312"/>
          <w:bCs/>
          <w:sz w:val="32"/>
          <w:szCs w:val="32"/>
        </w:rPr>
        <w:t>民建嘉兴市委</w:t>
      </w:r>
      <w:r>
        <w:rPr>
          <w:rFonts w:hint="eastAsia" w:ascii="仿宋_GB2312" w:eastAsia="仿宋_GB2312"/>
          <w:bCs/>
          <w:sz w:val="32"/>
          <w:szCs w:val="32"/>
          <w:lang w:eastAsia="zh-CN"/>
        </w:rPr>
        <w:t>会</w:t>
      </w:r>
      <w:r>
        <w:rPr>
          <w:rFonts w:hint="eastAsia" w:ascii="仿宋_GB2312" w:eastAsia="仿宋_GB2312"/>
          <w:bCs/>
          <w:sz w:val="32"/>
          <w:szCs w:val="32"/>
        </w:rPr>
        <w:t>2020年一般公共预算收入192.57万元，比2019年执行数增加</w:t>
      </w:r>
      <w:r>
        <w:rPr>
          <w:rFonts w:hint="eastAsia" w:ascii="仿宋_GB2312" w:eastAsia="仿宋_GB2312"/>
          <w:bCs/>
          <w:sz w:val="32"/>
          <w:szCs w:val="32"/>
          <w:lang w:val="en-US" w:eastAsia="zh-CN"/>
        </w:rPr>
        <w:t>4.36</w:t>
      </w:r>
      <w:r>
        <w:rPr>
          <w:rFonts w:hint="eastAsia" w:ascii="仿宋_GB2312" w:eastAsia="仿宋_GB2312"/>
          <w:bCs/>
          <w:sz w:val="32"/>
          <w:szCs w:val="32"/>
        </w:rPr>
        <w:t>万元，主要是社保、公积金基数调整，预计社保、公积金费用会有所增加。</w:t>
      </w:r>
    </w:p>
    <w:p>
      <w:pPr>
        <w:spacing w:line="550" w:lineRule="exact"/>
        <w:ind w:firstLine="642"/>
        <w:rPr>
          <w:rFonts w:ascii="仿宋" w:hAnsi="仿宋" w:eastAsia="仿宋" w:cs="楷体_GB2312"/>
          <w:b/>
          <w:color w:val="000000"/>
          <w:sz w:val="32"/>
          <w:szCs w:val="32"/>
        </w:rPr>
      </w:pPr>
      <w:r>
        <w:rPr>
          <w:rFonts w:ascii="仿宋" w:hAnsi="仿宋" w:eastAsia="仿宋" w:cs="楷体_GB2312"/>
          <w:b/>
          <w:color w:val="000000"/>
          <w:sz w:val="32"/>
          <w:szCs w:val="32"/>
        </w:rPr>
        <w:t>2.一般公共预算当年拨款结构情况</w:t>
      </w:r>
    </w:p>
    <w:p>
      <w:pPr>
        <w:spacing w:line="560" w:lineRule="exact"/>
        <w:rPr>
          <w:rFonts w:hint="eastAsia" w:ascii="仿宋_GB2312" w:eastAsia="仿宋_GB2312"/>
          <w:bCs/>
          <w:sz w:val="32"/>
          <w:szCs w:val="32"/>
        </w:rPr>
      </w:pPr>
      <w:r>
        <w:rPr>
          <w:rFonts w:hint="eastAsia" w:ascii="仿宋_GB2312" w:eastAsia="仿宋_GB2312"/>
          <w:bCs/>
          <w:sz w:val="32"/>
          <w:szCs w:val="32"/>
        </w:rPr>
        <w:t xml:space="preserve"> </w:t>
      </w:r>
      <w:r>
        <w:rPr>
          <w:rFonts w:hint="eastAsia" w:ascii="仿宋_GB2312" w:eastAsia="仿宋_GB2312"/>
          <w:bCs/>
          <w:sz w:val="32"/>
          <w:szCs w:val="32"/>
          <w:lang w:val="en-US" w:eastAsia="zh-CN"/>
        </w:rPr>
        <w:t xml:space="preserve">   </w:t>
      </w:r>
      <w:r>
        <w:rPr>
          <w:rFonts w:hint="eastAsia" w:ascii="仿宋_GB2312" w:eastAsia="仿宋_GB2312"/>
          <w:bCs/>
          <w:sz w:val="32"/>
          <w:szCs w:val="32"/>
        </w:rPr>
        <w:t>一般公共服务支出（类）167.54万元，占87.0%；社会保障和就业支出（类）14.07万元，占7.3 %；住房保障支出（类）10.96万元，占5.</w:t>
      </w:r>
      <w:r>
        <w:rPr>
          <w:rFonts w:hint="eastAsia" w:ascii="仿宋_GB2312" w:eastAsia="仿宋_GB2312"/>
          <w:bCs/>
          <w:sz w:val="32"/>
          <w:szCs w:val="32"/>
          <w:lang w:val="en-US" w:eastAsia="zh-CN"/>
        </w:rPr>
        <w:t>7</w:t>
      </w:r>
      <w:r>
        <w:rPr>
          <w:rFonts w:hint="eastAsia" w:ascii="仿宋_GB2312" w:eastAsia="仿宋_GB2312"/>
          <w:bCs/>
          <w:sz w:val="32"/>
          <w:szCs w:val="32"/>
        </w:rPr>
        <w:t>%。</w:t>
      </w:r>
    </w:p>
    <w:p>
      <w:pPr>
        <w:spacing w:line="550" w:lineRule="exact"/>
        <w:rPr>
          <w:rFonts w:ascii="仿宋" w:hAnsi="仿宋" w:eastAsia="仿宋" w:cs="楷体_GB2312"/>
          <w:b/>
          <w:color w:val="000000"/>
          <w:sz w:val="32"/>
          <w:szCs w:val="32"/>
        </w:rPr>
      </w:pPr>
      <w:r>
        <w:rPr>
          <w:rFonts w:ascii="仿宋" w:hAnsi="仿宋" w:eastAsia="仿宋" w:cs="楷体_GB2312"/>
          <w:b/>
          <w:color w:val="000000"/>
          <w:sz w:val="32"/>
          <w:szCs w:val="32"/>
        </w:rPr>
        <w:t xml:space="preserve">    3.一般公共预算当年拨款具体使用情况</w:t>
      </w:r>
    </w:p>
    <w:p>
      <w:pPr>
        <w:spacing w:line="560" w:lineRule="exact"/>
        <w:ind w:firstLine="627" w:firstLineChars="196"/>
        <w:rPr>
          <w:rFonts w:hint="eastAsia" w:ascii="仿宋_GB2312" w:eastAsia="仿宋_GB2312"/>
          <w:bCs/>
          <w:sz w:val="32"/>
          <w:szCs w:val="32"/>
        </w:rPr>
      </w:pPr>
      <w:r>
        <w:rPr>
          <w:rFonts w:hint="eastAsia" w:ascii="仿宋_GB2312" w:eastAsia="仿宋_GB2312"/>
          <w:bCs/>
          <w:sz w:val="32"/>
          <w:szCs w:val="32"/>
        </w:rPr>
        <w:t>（1）一般公共服务支出（类）民主党派及工商联事务（款）行政运行（项）事务144.59万元，主要用于民建嘉兴市委</w:t>
      </w:r>
      <w:r>
        <w:rPr>
          <w:rFonts w:hint="eastAsia" w:ascii="仿宋_GB2312" w:eastAsia="仿宋_GB2312"/>
          <w:bCs/>
          <w:sz w:val="32"/>
          <w:szCs w:val="32"/>
          <w:lang w:eastAsia="zh-CN"/>
        </w:rPr>
        <w:t>会</w:t>
      </w:r>
      <w:r>
        <w:rPr>
          <w:rFonts w:hint="eastAsia" w:ascii="仿宋_GB2312" w:eastAsia="仿宋_GB2312"/>
          <w:bCs/>
          <w:sz w:val="32"/>
          <w:szCs w:val="32"/>
        </w:rPr>
        <w:t>的人员支出及日常运行经费。</w:t>
      </w:r>
    </w:p>
    <w:p>
      <w:pPr>
        <w:spacing w:line="560" w:lineRule="exact"/>
        <w:ind w:firstLine="627" w:firstLineChars="196"/>
        <w:rPr>
          <w:rFonts w:hint="eastAsia" w:ascii="仿宋_GB2312" w:eastAsia="仿宋_GB2312"/>
          <w:bCs/>
          <w:sz w:val="32"/>
          <w:szCs w:val="32"/>
        </w:rPr>
      </w:pPr>
      <w:r>
        <w:rPr>
          <w:rFonts w:hint="eastAsia" w:ascii="仿宋_GB2312" w:eastAsia="仿宋_GB2312"/>
          <w:bCs/>
          <w:sz w:val="32"/>
          <w:szCs w:val="32"/>
        </w:rPr>
        <w:t>（2）一般公共服务支出（类）民主党派及工商联事务（款）一般行政管理（项）事务22.95万元，主要用于调研工作经费、民建中央75周年、市委会60周年经费等以及电子办公设备定额经费。</w:t>
      </w:r>
    </w:p>
    <w:p>
      <w:pPr>
        <w:spacing w:line="560" w:lineRule="exact"/>
        <w:ind w:firstLine="627" w:firstLineChars="196"/>
        <w:rPr>
          <w:rFonts w:hint="eastAsia" w:ascii="仿宋_GB2312" w:eastAsia="仿宋_GB2312"/>
          <w:bCs/>
          <w:sz w:val="32"/>
          <w:szCs w:val="32"/>
        </w:rPr>
      </w:pPr>
      <w:r>
        <w:rPr>
          <w:rFonts w:hint="eastAsia" w:ascii="仿宋_GB2312" w:eastAsia="仿宋_GB2312"/>
          <w:bCs/>
          <w:sz w:val="32"/>
          <w:szCs w:val="32"/>
        </w:rPr>
        <w:t>（3）社会保障和就业支出（类）行政事业单位养老支出（款）行政单位离退休（项）4.80万元，主要用于退休人员福利支出。</w:t>
      </w:r>
    </w:p>
    <w:p>
      <w:pPr>
        <w:spacing w:line="560" w:lineRule="exact"/>
        <w:ind w:firstLine="627" w:firstLineChars="196"/>
        <w:rPr>
          <w:rFonts w:hint="eastAsia" w:ascii="仿宋_GB2312" w:eastAsia="仿宋_GB2312"/>
          <w:bCs/>
          <w:sz w:val="32"/>
          <w:szCs w:val="32"/>
        </w:rPr>
      </w:pPr>
      <w:r>
        <w:rPr>
          <w:rFonts w:hint="eastAsia" w:ascii="仿宋_GB2312" w:eastAsia="仿宋_GB2312"/>
          <w:bCs/>
          <w:sz w:val="32"/>
          <w:szCs w:val="32"/>
        </w:rPr>
        <w:t>（4）社会保障和就业支出（类）行政事业单位离退休（款）机关事业单位基本养老保险缴费支出（项）6.18万元，主要用于机关在职人员基本养老保险缴费支出。</w:t>
      </w:r>
    </w:p>
    <w:p>
      <w:pPr>
        <w:spacing w:line="560" w:lineRule="exact"/>
        <w:ind w:firstLine="627" w:firstLineChars="196"/>
        <w:rPr>
          <w:rFonts w:hint="eastAsia" w:ascii="仿宋_GB2312" w:eastAsia="仿宋_GB2312"/>
          <w:bCs/>
          <w:sz w:val="32"/>
          <w:szCs w:val="32"/>
        </w:rPr>
      </w:pPr>
      <w:r>
        <w:rPr>
          <w:rFonts w:hint="eastAsia" w:ascii="仿宋_GB2312" w:eastAsia="仿宋_GB2312"/>
          <w:bCs/>
          <w:sz w:val="32"/>
          <w:szCs w:val="32"/>
        </w:rPr>
        <w:t>（5）社会保障和就业支出（类）行政事业单位离退休（款）机关事业单位职业年金缴费支出（项）3.09万元，主要用于机关在职人员单位职业年金缴费支出。</w:t>
      </w:r>
    </w:p>
    <w:p>
      <w:pPr>
        <w:spacing w:line="560" w:lineRule="exact"/>
        <w:ind w:firstLine="627" w:firstLineChars="196"/>
        <w:rPr>
          <w:rFonts w:hint="eastAsia" w:ascii="仿宋_GB2312" w:eastAsia="仿宋_GB2312"/>
          <w:bCs/>
          <w:sz w:val="32"/>
          <w:szCs w:val="32"/>
        </w:rPr>
      </w:pPr>
      <w:r>
        <w:rPr>
          <w:rFonts w:hint="eastAsia" w:ascii="仿宋_GB2312" w:eastAsia="仿宋_GB2312"/>
          <w:bCs/>
          <w:sz w:val="32"/>
          <w:szCs w:val="32"/>
        </w:rPr>
        <w:t>（6）住房保障支出（类）住房改革支出（款）住房公积金（项）10.96万元，主要用于按照国家政策为职工缴纳的住房公积金支出。</w:t>
      </w:r>
    </w:p>
    <w:p>
      <w:pPr>
        <w:spacing w:line="550" w:lineRule="exact"/>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 xml:space="preserve">    （六）关于民建嘉兴市委</w:t>
      </w:r>
      <w:r>
        <w:rPr>
          <w:rFonts w:hint="eastAsia" w:ascii="楷体_GB2312" w:hAnsi="楷体_GB2312" w:eastAsia="楷体_GB2312" w:cs="楷体_GB2312"/>
          <w:b/>
          <w:color w:val="000000"/>
          <w:sz w:val="32"/>
          <w:szCs w:val="32"/>
          <w:lang w:eastAsia="zh-CN"/>
        </w:rPr>
        <w:t>会</w:t>
      </w:r>
      <w:r>
        <w:rPr>
          <w:rFonts w:hint="eastAsia" w:ascii="楷体_GB2312" w:hAnsi="楷体_GB2312" w:eastAsia="楷体_GB2312" w:cs="楷体_GB2312"/>
          <w:b/>
          <w:color w:val="000000"/>
          <w:sz w:val="32"/>
          <w:szCs w:val="32"/>
        </w:rPr>
        <w:t>2020年一般公共预算基本支出情况说明</w:t>
      </w:r>
    </w:p>
    <w:p>
      <w:pPr>
        <w:spacing w:line="550" w:lineRule="exact"/>
        <w:ind w:firstLine="642"/>
        <w:rPr>
          <w:rFonts w:ascii="仿宋_GB2312" w:eastAsia="仿宋_GB2312"/>
          <w:color w:val="000000"/>
          <w:sz w:val="32"/>
          <w:szCs w:val="32"/>
        </w:rPr>
      </w:pPr>
      <w:r>
        <w:rPr>
          <w:rFonts w:hint="eastAsia" w:ascii="仿宋_GB2312" w:eastAsia="仿宋_GB2312"/>
          <w:bCs/>
          <w:sz w:val="32"/>
          <w:szCs w:val="32"/>
        </w:rPr>
        <w:t>民建嘉兴市委</w:t>
      </w:r>
      <w:r>
        <w:rPr>
          <w:rFonts w:hint="eastAsia" w:ascii="仿宋_GB2312" w:eastAsia="仿宋_GB2312"/>
          <w:bCs/>
          <w:sz w:val="32"/>
          <w:szCs w:val="32"/>
          <w:lang w:eastAsia="zh-CN"/>
        </w:rPr>
        <w:t>会</w:t>
      </w:r>
      <w:r>
        <w:rPr>
          <w:rFonts w:hint="eastAsia" w:ascii="仿宋_GB2312" w:eastAsia="仿宋_GB2312"/>
          <w:bCs/>
          <w:sz w:val="32"/>
          <w:szCs w:val="32"/>
        </w:rPr>
        <w:t>2020年一般公共预算基本支出169.62万元，</w:t>
      </w:r>
      <w:r>
        <w:rPr>
          <w:rFonts w:hint="eastAsia" w:ascii="仿宋_GB2312" w:eastAsia="仿宋_GB2312"/>
          <w:color w:val="000000"/>
          <w:sz w:val="32"/>
          <w:szCs w:val="32"/>
        </w:rPr>
        <w:t>其中：</w:t>
      </w:r>
    </w:p>
    <w:p>
      <w:pPr>
        <w:spacing w:line="550" w:lineRule="exact"/>
        <w:ind w:firstLine="642"/>
        <w:rPr>
          <w:rFonts w:ascii="仿宋_GB2312" w:eastAsia="仿宋_GB2312"/>
          <w:color w:val="000000"/>
          <w:sz w:val="32"/>
          <w:szCs w:val="32"/>
        </w:rPr>
      </w:pPr>
      <w:r>
        <w:rPr>
          <w:rFonts w:hint="eastAsia" w:ascii="仿宋_GB2312" w:eastAsia="仿宋_GB2312"/>
          <w:color w:val="000000"/>
          <w:sz w:val="32"/>
          <w:szCs w:val="32"/>
        </w:rPr>
        <w:t>人员经费</w:t>
      </w:r>
      <w:r>
        <w:rPr>
          <w:rFonts w:hint="eastAsia" w:ascii="仿宋" w:hAnsi="仿宋" w:eastAsia="仿宋"/>
          <w:color w:val="000000"/>
          <w:sz w:val="32"/>
          <w:szCs w:val="32"/>
        </w:rPr>
        <w:t>104.85</w:t>
      </w:r>
      <w:r>
        <w:rPr>
          <w:rFonts w:hint="eastAsia" w:ascii="仿宋_GB2312" w:eastAsia="仿宋_GB2312"/>
          <w:color w:val="000000"/>
          <w:sz w:val="32"/>
          <w:szCs w:val="32"/>
        </w:rPr>
        <w:t>万元，主要包括：基本工资、津贴补贴、奖金、机关事业单位基本养老保险缴费、职业年金缴费、职工基本医疗保险缴费、公务员医疗补助缴费、其他社会保障缴费、住房公积金、其他工资福利支出、退休费、奖励金；</w:t>
      </w:r>
    </w:p>
    <w:p>
      <w:pPr>
        <w:spacing w:line="550" w:lineRule="exact"/>
        <w:ind w:firstLine="642"/>
        <w:rPr>
          <w:rFonts w:ascii="仿宋_GB2312" w:eastAsia="仿宋_GB2312"/>
          <w:color w:val="000000"/>
          <w:sz w:val="32"/>
          <w:szCs w:val="32"/>
        </w:rPr>
      </w:pPr>
      <w:r>
        <w:rPr>
          <w:rFonts w:hint="eastAsia" w:ascii="仿宋_GB2312" w:eastAsia="仿宋_GB2312"/>
          <w:color w:val="000000"/>
          <w:sz w:val="32"/>
          <w:szCs w:val="32"/>
        </w:rPr>
        <w:t>公用经费</w:t>
      </w:r>
      <w:r>
        <w:rPr>
          <w:rFonts w:hint="eastAsia" w:ascii="仿宋" w:hAnsi="仿宋" w:eastAsia="仿宋"/>
          <w:color w:val="000000"/>
          <w:sz w:val="32"/>
          <w:szCs w:val="32"/>
        </w:rPr>
        <w:t>64.77</w:t>
      </w:r>
      <w:r>
        <w:rPr>
          <w:rFonts w:hint="eastAsia" w:ascii="仿宋_GB2312" w:eastAsia="仿宋_GB2312"/>
          <w:color w:val="000000"/>
          <w:sz w:val="32"/>
          <w:szCs w:val="32"/>
        </w:rPr>
        <w:t>万元，主要包括：办公费、印刷费、水费、电费、邮电费、差旅费、会议费、培训费、公务接待费、劳务费、委托业务费、工会经费、福利费、其他交通费用、税金及附加费用、其他商品和服务支出。</w:t>
      </w:r>
    </w:p>
    <w:p>
      <w:pPr>
        <w:spacing w:line="550" w:lineRule="exact"/>
        <w:ind w:firstLine="642"/>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（七）关于民建嘉兴市委</w:t>
      </w:r>
      <w:r>
        <w:rPr>
          <w:rFonts w:hint="eastAsia" w:ascii="楷体_GB2312" w:hAnsi="楷体_GB2312" w:eastAsia="楷体_GB2312" w:cs="楷体_GB2312"/>
          <w:b/>
          <w:color w:val="000000"/>
          <w:sz w:val="32"/>
          <w:szCs w:val="32"/>
          <w:lang w:eastAsia="zh-CN"/>
        </w:rPr>
        <w:t>会</w:t>
      </w:r>
      <w:r>
        <w:rPr>
          <w:rFonts w:hint="eastAsia" w:ascii="楷体_GB2312" w:hAnsi="楷体_GB2312" w:eastAsia="楷体_GB2312" w:cs="楷体_GB2312"/>
          <w:b/>
          <w:color w:val="000000"/>
          <w:sz w:val="32"/>
          <w:szCs w:val="32"/>
        </w:rPr>
        <w:t>2020年政府性基金预算支出情况说明</w:t>
      </w:r>
    </w:p>
    <w:p>
      <w:pPr>
        <w:spacing w:line="550" w:lineRule="exact"/>
        <w:rPr>
          <w:rFonts w:ascii="仿宋_GB2312" w:eastAsia="仿宋_GB2312"/>
          <w:color w:val="000000"/>
          <w:sz w:val="32"/>
          <w:szCs w:val="32"/>
        </w:rPr>
      </w:pPr>
      <w:r>
        <w:rPr>
          <w:rFonts w:hint="eastAsia" w:ascii="仿宋_GB2312" w:eastAsia="仿宋_GB2312"/>
          <w:color w:val="000000"/>
          <w:sz w:val="32"/>
          <w:szCs w:val="32"/>
        </w:rPr>
        <w:t xml:space="preserve">    民建嘉兴市委</w:t>
      </w:r>
      <w:r>
        <w:rPr>
          <w:rFonts w:hint="eastAsia" w:ascii="仿宋_GB2312" w:eastAsia="仿宋_GB2312"/>
          <w:color w:val="000000"/>
          <w:sz w:val="32"/>
          <w:szCs w:val="32"/>
          <w:lang w:eastAsia="zh-CN"/>
        </w:rPr>
        <w:t>会</w:t>
      </w:r>
      <w:r>
        <w:rPr>
          <w:rFonts w:ascii="仿宋_GB2312" w:eastAsia="仿宋_GB2312"/>
          <w:color w:val="000000"/>
          <w:sz w:val="32"/>
          <w:szCs w:val="32"/>
        </w:rPr>
        <w:t>2020</w:t>
      </w:r>
      <w:r>
        <w:rPr>
          <w:rFonts w:hint="eastAsia" w:ascii="仿宋_GB2312" w:eastAsia="仿宋_GB2312"/>
          <w:color w:val="000000"/>
          <w:sz w:val="32"/>
          <w:szCs w:val="32"/>
        </w:rPr>
        <w:t>年没有使用政府性基金预算拨款安排的支出。</w:t>
      </w:r>
    </w:p>
    <w:p>
      <w:pPr>
        <w:spacing w:line="560" w:lineRule="exact"/>
        <w:ind w:firstLine="630" w:firstLineChars="196"/>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（八）关于民建嘉兴市委</w:t>
      </w:r>
      <w:r>
        <w:rPr>
          <w:rFonts w:hint="eastAsia" w:ascii="楷体_GB2312" w:hAnsi="楷体_GB2312" w:eastAsia="楷体_GB2312" w:cs="楷体_GB2312"/>
          <w:b/>
          <w:color w:val="000000"/>
          <w:sz w:val="32"/>
          <w:szCs w:val="32"/>
          <w:lang w:eastAsia="zh-CN"/>
        </w:rPr>
        <w:t>会</w:t>
      </w:r>
      <w:r>
        <w:rPr>
          <w:rFonts w:hint="eastAsia" w:ascii="楷体_GB2312" w:hAnsi="楷体_GB2312" w:eastAsia="楷体_GB2312" w:cs="楷体_GB2312"/>
          <w:b/>
          <w:color w:val="000000"/>
          <w:sz w:val="32"/>
          <w:szCs w:val="32"/>
        </w:rPr>
        <w:t>2020年</w:t>
      </w:r>
      <w:r>
        <w:rPr>
          <w:rFonts w:hint="eastAsia" w:ascii="楷体_GB2312" w:hAnsi="楷体_GB2312" w:eastAsia="楷体_GB2312" w:cs="楷体_GB2312"/>
          <w:b/>
          <w:sz w:val="32"/>
          <w:szCs w:val="32"/>
        </w:rPr>
        <w:t>一般公共预算</w:t>
      </w:r>
      <w:r>
        <w:rPr>
          <w:rFonts w:hint="eastAsia" w:ascii="楷体_GB2312" w:hAnsi="楷体_GB2312" w:eastAsia="楷体_GB2312" w:cs="楷体_GB2312"/>
          <w:b/>
          <w:color w:val="000000"/>
          <w:sz w:val="32"/>
          <w:szCs w:val="32"/>
        </w:rPr>
        <w:t>“三公”经费预算情况说明</w:t>
      </w:r>
    </w:p>
    <w:p>
      <w:pPr>
        <w:spacing w:line="550" w:lineRule="exact"/>
        <w:ind w:firstLine="642"/>
        <w:rPr>
          <w:rFonts w:hint="eastAsia" w:ascii="仿宋_GB2312" w:eastAsia="仿宋_GB2312"/>
          <w:bCs/>
          <w:sz w:val="32"/>
          <w:szCs w:val="32"/>
        </w:rPr>
      </w:pPr>
      <w:r>
        <w:rPr>
          <w:rFonts w:hint="eastAsia" w:ascii="仿宋_GB2312" w:eastAsia="仿宋_GB2312"/>
          <w:bCs/>
          <w:sz w:val="32"/>
          <w:szCs w:val="32"/>
        </w:rPr>
        <w:t>民建嘉兴市委</w:t>
      </w:r>
      <w:r>
        <w:rPr>
          <w:rFonts w:hint="eastAsia" w:ascii="仿宋_GB2312" w:eastAsia="仿宋_GB2312"/>
          <w:bCs/>
          <w:sz w:val="32"/>
          <w:szCs w:val="32"/>
          <w:lang w:eastAsia="zh-CN"/>
        </w:rPr>
        <w:t>会</w:t>
      </w:r>
      <w:r>
        <w:rPr>
          <w:rFonts w:hint="eastAsia" w:ascii="仿宋_GB2312" w:eastAsia="仿宋_GB2312"/>
          <w:bCs/>
          <w:sz w:val="32"/>
          <w:szCs w:val="32"/>
        </w:rPr>
        <w:t>2020年“三公”经费预算数为5.00万元，比2019年执行数增加</w:t>
      </w:r>
      <w:r>
        <w:rPr>
          <w:rFonts w:hint="default" w:ascii="仿宋_GB2312" w:eastAsia="仿宋_GB2312"/>
          <w:bCs/>
          <w:sz w:val="32"/>
          <w:szCs w:val="32"/>
          <w:lang w:val="en-US"/>
        </w:rPr>
        <w:t>1.05</w:t>
      </w:r>
      <w:r>
        <w:rPr>
          <w:rFonts w:hint="eastAsia" w:ascii="仿宋_GB2312" w:eastAsia="仿宋_GB2312"/>
          <w:bCs/>
          <w:sz w:val="32"/>
          <w:szCs w:val="32"/>
        </w:rPr>
        <w:t>万元，增长</w:t>
      </w:r>
      <w:r>
        <w:rPr>
          <w:rFonts w:hint="default" w:ascii="仿宋_GB2312" w:eastAsia="仿宋_GB2312"/>
          <w:bCs/>
          <w:sz w:val="32"/>
          <w:szCs w:val="32"/>
          <w:lang w:val="en-US"/>
        </w:rPr>
        <w:t>26.58</w:t>
      </w:r>
      <w:r>
        <w:rPr>
          <w:rFonts w:hint="eastAsia" w:ascii="仿宋_GB2312" w:eastAsia="仿宋_GB2312"/>
          <w:bCs/>
          <w:sz w:val="32"/>
          <w:szCs w:val="32"/>
        </w:rPr>
        <w:t>%，具体如下：</w:t>
      </w:r>
    </w:p>
    <w:p>
      <w:pPr>
        <w:spacing w:line="550" w:lineRule="exact"/>
        <w:ind w:firstLine="642"/>
        <w:rPr>
          <w:rFonts w:hint="eastAsia" w:ascii="仿宋_GB2312" w:eastAsia="仿宋_GB2312"/>
          <w:bCs/>
          <w:sz w:val="32"/>
          <w:szCs w:val="32"/>
        </w:rPr>
      </w:pPr>
      <w:r>
        <w:rPr>
          <w:rFonts w:hint="eastAsia" w:ascii="仿宋_GB2312" w:eastAsia="仿宋_GB2312"/>
          <w:b/>
          <w:bCs w:val="0"/>
          <w:sz w:val="32"/>
          <w:szCs w:val="32"/>
        </w:rPr>
        <w:t>1.因公出国（境）费用</w:t>
      </w:r>
      <w:r>
        <w:rPr>
          <w:rFonts w:hint="eastAsia" w:ascii="仿宋_GB2312" w:eastAsia="仿宋_GB2312"/>
          <w:bCs/>
          <w:sz w:val="32"/>
          <w:szCs w:val="32"/>
        </w:rPr>
        <w:t xml:space="preserve"> </w:t>
      </w:r>
    </w:p>
    <w:p>
      <w:pPr>
        <w:spacing w:line="550" w:lineRule="exact"/>
        <w:ind w:firstLine="642"/>
        <w:rPr>
          <w:rFonts w:hint="eastAsia" w:ascii="仿宋_GB2312" w:eastAsia="仿宋_GB2312"/>
          <w:bCs/>
          <w:sz w:val="32"/>
          <w:szCs w:val="32"/>
        </w:rPr>
      </w:pPr>
      <w:r>
        <w:rPr>
          <w:rFonts w:hint="eastAsia" w:ascii="仿宋_GB2312" w:eastAsia="仿宋_GB2312"/>
          <w:bCs/>
          <w:sz w:val="32"/>
          <w:szCs w:val="32"/>
        </w:rPr>
        <w:t>2020年安排因公出国（境）团组费用预算0 万元，上年执行数0万元。原因是我市因公出国（境）经费实行归口管理、由市财政统筹安排，不单独安排预算。</w:t>
      </w:r>
    </w:p>
    <w:p>
      <w:pPr>
        <w:numPr>
          <w:ilvl w:val="0"/>
          <w:numId w:val="0"/>
        </w:numPr>
        <w:spacing w:line="550" w:lineRule="exact"/>
        <w:ind w:firstLine="643" w:firstLineChars="200"/>
        <w:rPr>
          <w:rFonts w:hint="eastAsia" w:ascii="仿宋_GB2312" w:eastAsia="仿宋_GB2312"/>
          <w:b/>
          <w:bCs w:val="0"/>
          <w:sz w:val="32"/>
          <w:szCs w:val="32"/>
        </w:rPr>
      </w:pPr>
      <w:r>
        <w:rPr>
          <w:rFonts w:hint="eastAsia" w:ascii="仿宋_GB2312" w:eastAsia="仿宋_GB2312"/>
          <w:b/>
          <w:bCs w:val="0"/>
          <w:sz w:val="32"/>
          <w:szCs w:val="32"/>
          <w:lang w:val="en-US" w:eastAsia="zh-CN"/>
        </w:rPr>
        <w:t>2.</w:t>
      </w:r>
      <w:r>
        <w:rPr>
          <w:rFonts w:hint="eastAsia" w:ascii="仿宋_GB2312" w:eastAsia="仿宋_GB2312"/>
          <w:b/>
          <w:bCs w:val="0"/>
          <w:sz w:val="32"/>
          <w:szCs w:val="32"/>
        </w:rPr>
        <w:t>公务接待费</w:t>
      </w:r>
    </w:p>
    <w:p>
      <w:pPr>
        <w:numPr>
          <w:ilvl w:val="0"/>
          <w:numId w:val="0"/>
        </w:numPr>
        <w:spacing w:line="550" w:lineRule="exact"/>
        <w:ind w:firstLine="640" w:firstLineChars="200"/>
        <w:rPr>
          <w:rFonts w:hint="eastAsia" w:ascii="仿宋_GB2312" w:eastAsia="仿宋_GB2312"/>
          <w:bCs/>
          <w:sz w:val="32"/>
          <w:szCs w:val="32"/>
          <w:lang w:eastAsia="zh-CN"/>
        </w:rPr>
      </w:pPr>
      <w:r>
        <w:rPr>
          <w:rFonts w:hint="eastAsia" w:ascii="仿宋_GB2312" w:eastAsia="仿宋_GB2312"/>
          <w:bCs/>
          <w:sz w:val="32"/>
          <w:szCs w:val="32"/>
        </w:rPr>
        <w:t>2020年安排公务接待费预算5</w:t>
      </w:r>
      <w:r>
        <w:rPr>
          <w:rFonts w:hint="default" w:ascii="仿宋_GB2312" w:eastAsia="仿宋_GB2312"/>
          <w:bCs/>
          <w:sz w:val="32"/>
          <w:szCs w:val="32"/>
          <w:lang w:val="en-US"/>
        </w:rPr>
        <w:t>.00</w:t>
      </w:r>
      <w:r>
        <w:rPr>
          <w:rFonts w:hint="eastAsia" w:ascii="仿宋_GB2312" w:eastAsia="仿宋_GB2312"/>
          <w:bCs/>
          <w:sz w:val="32"/>
          <w:szCs w:val="32"/>
        </w:rPr>
        <w:t>万元，比2019年执行数增加</w:t>
      </w:r>
      <w:r>
        <w:rPr>
          <w:rFonts w:hint="default" w:ascii="仿宋_GB2312" w:eastAsia="仿宋_GB2312"/>
          <w:bCs/>
          <w:sz w:val="32"/>
          <w:szCs w:val="32"/>
          <w:lang w:val="en-US"/>
        </w:rPr>
        <w:t>1.05</w:t>
      </w:r>
      <w:r>
        <w:rPr>
          <w:rFonts w:hint="eastAsia" w:ascii="仿宋_GB2312" w:eastAsia="仿宋_GB2312"/>
          <w:bCs/>
          <w:sz w:val="32"/>
          <w:szCs w:val="32"/>
        </w:rPr>
        <w:t>万元，增长</w:t>
      </w:r>
      <w:r>
        <w:rPr>
          <w:rFonts w:hint="default" w:ascii="仿宋_GB2312" w:eastAsia="仿宋_GB2312"/>
          <w:bCs/>
          <w:sz w:val="32"/>
          <w:szCs w:val="32"/>
          <w:lang w:val="en-US"/>
        </w:rPr>
        <w:t>26.58</w:t>
      </w:r>
      <w:r>
        <w:rPr>
          <w:rFonts w:hint="eastAsia" w:ascii="仿宋_GB2312" w:eastAsia="仿宋_GB2312"/>
          <w:bCs/>
          <w:sz w:val="32"/>
          <w:szCs w:val="32"/>
        </w:rPr>
        <w:t>%</w:t>
      </w:r>
      <w:r>
        <w:rPr>
          <w:rFonts w:hint="eastAsia" w:ascii="仿宋_GB2312" w:eastAsia="仿宋_GB2312"/>
          <w:bCs/>
          <w:sz w:val="32"/>
          <w:szCs w:val="32"/>
          <w:lang w:eastAsia="zh-CN"/>
        </w:rPr>
        <w:t>。</w:t>
      </w:r>
      <w:r>
        <w:rPr>
          <w:rFonts w:hint="eastAsia" w:ascii="仿宋_GB2312" w:eastAsia="仿宋_GB2312"/>
          <w:bCs/>
          <w:sz w:val="32"/>
          <w:szCs w:val="32"/>
        </w:rPr>
        <w:t>主要用于接待接待上级及兄弟地市来禾调研、考察、培训等接待支出，以及县（市）党派来市委会公务活动等支出。</w:t>
      </w:r>
      <w:r>
        <w:rPr>
          <w:rFonts w:hint="eastAsia" w:ascii="仿宋_GB2312" w:eastAsia="仿宋_GB2312"/>
          <w:bCs/>
          <w:sz w:val="32"/>
          <w:szCs w:val="32"/>
          <w:lang w:eastAsia="zh-CN"/>
        </w:rPr>
        <w:t>增加的主要原因是预计本年接待批次和人数会有所增加。</w:t>
      </w:r>
      <w:bookmarkStart w:id="0" w:name="_GoBack"/>
      <w:bookmarkEnd w:id="0"/>
    </w:p>
    <w:p>
      <w:pPr>
        <w:numPr>
          <w:ilvl w:val="0"/>
          <w:numId w:val="0"/>
        </w:numPr>
        <w:spacing w:line="550" w:lineRule="exact"/>
        <w:ind w:firstLine="643" w:firstLineChars="200"/>
        <w:rPr>
          <w:rFonts w:hint="eastAsia" w:ascii="仿宋_GB2312" w:eastAsia="仿宋_GB2312"/>
          <w:bCs/>
          <w:sz w:val="32"/>
          <w:szCs w:val="32"/>
        </w:rPr>
      </w:pPr>
      <w:r>
        <w:rPr>
          <w:rFonts w:hint="eastAsia" w:ascii="仿宋_GB2312" w:eastAsia="仿宋_GB2312"/>
          <w:b/>
          <w:bCs w:val="0"/>
          <w:sz w:val="32"/>
          <w:szCs w:val="32"/>
        </w:rPr>
        <w:t>3.公务用车购置及运行维护费</w:t>
      </w:r>
      <w:r>
        <w:rPr>
          <w:rFonts w:hint="eastAsia" w:ascii="仿宋_GB2312" w:eastAsia="仿宋_GB2312"/>
          <w:bCs/>
          <w:sz w:val="32"/>
          <w:szCs w:val="32"/>
        </w:rPr>
        <w:t xml:space="preserve"> </w:t>
      </w:r>
    </w:p>
    <w:p>
      <w:pPr>
        <w:spacing w:line="550" w:lineRule="exact"/>
        <w:ind w:firstLine="642"/>
        <w:rPr>
          <w:rFonts w:hint="eastAsia" w:ascii="仿宋_GB2312" w:eastAsia="仿宋_GB2312"/>
          <w:bCs/>
          <w:sz w:val="32"/>
          <w:szCs w:val="32"/>
        </w:rPr>
      </w:pPr>
      <w:r>
        <w:rPr>
          <w:rFonts w:hint="eastAsia" w:ascii="仿宋_GB2312" w:eastAsia="仿宋_GB2312"/>
          <w:bCs/>
          <w:sz w:val="32"/>
          <w:szCs w:val="32"/>
        </w:rPr>
        <w:t>2020年安排公务用车购置及运行维护费预算0万元，上年执行数0万元。原因是公务用车制度改革后本部门无保留公务用车，2020年部门预算也未安排购置公务用车。</w:t>
      </w:r>
    </w:p>
    <w:p>
      <w:pPr>
        <w:spacing w:line="560" w:lineRule="exact"/>
        <w:ind w:firstLine="630" w:firstLineChars="196"/>
        <w:rPr>
          <w:rFonts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（九）其他重要事项的情况说明</w:t>
      </w:r>
    </w:p>
    <w:p>
      <w:pPr>
        <w:pStyle w:val="8"/>
        <w:widowControl w:val="0"/>
        <w:spacing w:line="560" w:lineRule="exact"/>
        <w:ind w:firstLine="600"/>
        <w:rPr>
          <w:rFonts w:ascii="仿宋_GB2312" w:eastAsia="仿宋_GB2312"/>
          <w:b/>
          <w:bCs/>
          <w:sz w:val="32"/>
          <w:szCs w:val="32"/>
          <w:highlight w:val="none"/>
        </w:rPr>
      </w:pPr>
      <w:r>
        <w:rPr>
          <w:rFonts w:hint="eastAsia" w:ascii="仿宋_GB2312" w:eastAsia="仿宋_GB2312"/>
          <w:b/>
          <w:bCs/>
          <w:sz w:val="32"/>
          <w:szCs w:val="32"/>
          <w:highlight w:val="none"/>
        </w:rPr>
        <w:t>1.机关运行经费</w:t>
      </w:r>
    </w:p>
    <w:p>
      <w:pPr>
        <w:spacing w:line="560" w:lineRule="exact"/>
        <w:ind w:firstLine="642"/>
        <w:rPr>
          <w:rFonts w:ascii="仿宋_GB2312" w:eastAsia="仿宋_GB2312"/>
          <w:color w:val="000000"/>
          <w:sz w:val="32"/>
          <w:szCs w:val="32"/>
          <w:highlight w:val="none"/>
        </w:rPr>
      </w:pPr>
      <w:r>
        <w:rPr>
          <w:rFonts w:hint="eastAsia" w:ascii="仿宋_GB2312" w:eastAsia="仿宋_GB2312"/>
          <w:sz w:val="32"/>
          <w:szCs w:val="32"/>
          <w:highlight w:val="none"/>
        </w:rPr>
        <w:t>2020年</w:t>
      </w:r>
      <w:r>
        <w:rPr>
          <w:rFonts w:hint="eastAsia" w:ascii="仿宋_GB2312" w:eastAsia="仿宋_GB2312"/>
          <w:sz w:val="32"/>
          <w:szCs w:val="32"/>
          <w:highlight w:val="none"/>
          <w:lang w:val="en-US" w:eastAsia="zh-CN"/>
        </w:rPr>
        <w:t>民建嘉兴市委会</w:t>
      </w:r>
      <w:r>
        <w:rPr>
          <w:rFonts w:hint="eastAsia" w:ascii="仿宋_GB2312" w:eastAsia="仿宋_GB2312"/>
          <w:color w:val="000000"/>
          <w:sz w:val="32"/>
          <w:szCs w:val="32"/>
          <w:highlight w:val="none"/>
        </w:rPr>
        <w:t>本级</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家行政单位的机关运行经费财政拨款预算</w:t>
      </w:r>
      <w:r>
        <w:rPr>
          <w:rFonts w:hint="eastAsia" w:ascii="仿宋_GB2312" w:eastAsia="仿宋_GB2312"/>
          <w:color w:val="000000"/>
          <w:sz w:val="32"/>
          <w:szCs w:val="32"/>
          <w:highlight w:val="none"/>
          <w:lang w:val="en-US" w:eastAsia="zh-CN"/>
        </w:rPr>
        <w:t>64.77</w:t>
      </w:r>
      <w:r>
        <w:rPr>
          <w:rFonts w:hint="eastAsia" w:ascii="仿宋_GB2312" w:eastAsia="仿宋_GB2312"/>
          <w:color w:val="000000"/>
          <w:sz w:val="32"/>
          <w:szCs w:val="32"/>
          <w:highlight w:val="none"/>
        </w:rPr>
        <w:t>万元，比2019年预算减少</w:t>
      </w:r>
      <w:r>
        <w:rPr>
          <w:rFonts w:hint="eastAsia" w:ascii="仿宋_GB2312" w:eastAsia="仿宋_GB2312"/>
          <w:color w:val="000000"/>
          <w:sz w:val="32"/>
          <w:szCs w:val="32"/>
          <w:highlight w:val="none"/>
          <w:lang w:val="en-US" w:eastAsia="zh-CN"/>
        </w:rPr>
        <w:t>0.51</w:t>
      </w:r>
      <w:r>
        <w:rPr>
          <w:rFonts w:hint="eastAsia" w:ascii="仿宋_GB2312" w:eastAsia="仿宋_GB2312"/>
          <w:color w:val="000000"/>
          <w:sz w:val="32"/>
          <w:szCs w:val="32"/>
          <w:highlight w:val="none"/>
        </w:rPr>
        <w:t>万元，下降</w:t>
      </w:r>
      <w:r>
        <w:rPr>
          <w:rFonts w:hint="eastAsia" w:ascii="仿宋_GB2312" w:eastAsia="仿宋_GB2312"/>
          <w:color w:val="000000"/>
          <w:sz w:val="32"/>
          <w:szCs w:val="32"/>
          <w:highlight w:val="none"/>
          <w:lang w:val="en-US" w:eastAsia="zh-CN"/>
        </w:rPr>
        <w:t>0.8</w:t>
      </w:r>
      <w:r>
        <w:rPr>
          <w:rFonts w:hint="eastAsia" w:ascii="仿宋_GB2312" w:eastAsia="仿宋_GB2312"/>
          <w:color w:val="000000"/>
          <w:sz w:val="32"/>
          <w:szCs w:val="32"/>
          <w:highlight w:val="none"/>
        </w:rPr>
        <w:t>%，主要是</w:t>
      </w:r>
      <w:r>
        <w:rPr>
          <w:rFonts w:hint="eastAsia" w:ascii="仿宋_GB2312" w:eastAsia="仿宋_GB2312"/>
          <w:color w:val="000000"/>
          <w:sz w:val="32"/>
          <w:szCs w:val="32"/>
          <w:highlight w:val="none"/>
          <w:lang w:val="en-US" w:eastAsia="zh-CN"/>
        </w:rPr>
        <w:t>节约开支，减少支出</w:t>
      </w:r>
      <w:r>
        <w:rPr>
          <w:rFonts w:hint="eastAsia" w:ascii="仿宋_GB2312" w:eastAsia="仿宋_GB2312"/>
          <w:color w:val="000000"/>
          <w:sz w:val="32"/>
          <w:szCs w:val="32"/>
          <w:highlight w:val="none"/>
        </w:rPr>
        <w:t>。</w:t>
      </w:r>
    </w:p>
    <w:p>
      <w:pPr>
        <w:pStyle w:val="8"/>
        <w:widowControl w:val="0"/>
        <w:numPr>
          <w:ilvl w:val="0"/>
          <w:numId w:val="3"/>
        </w:numPr>
        <w:spacing w:line="560" w:lineRule="exact"/>
        <w:ind w:firstLine="600"/>
        <w:rPr>
          <w:rFonts w:ascii="仿宋_GB2312" w:eastAsia="仿宋_GB2312"/>
          <w:b/>
          <w:bCs/>
          <w:sz w:val="32"/>
          <w:szCs w:val="32"/>
        </w:rPr>
      </w:pPr>
      <w:r>
        <w:rPr>
          <w:rFonts w:hint="eastAsia" w:ascii="仿宋_GB2312" w:eastAsia="仿宋_GB2312"/>
          <w:b/>
          <w:bCs/>
          <w:sz w:val="32"/>
          <w:szCs w:val="32"/>
        </w:rPr>
        <w:t>政府采购情况</w:t>
      </w:r>
    </w:p>
    <w:p>
      <w:pPr>
        <w:pStyle w:val="8"/>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w:t>
      </w:r>
      <w:r>
        <w:rPr>
          <w:rFonts w:hint="eastAsia" w:ascii="仿宋_GB2312" w:eastAsia="仿宋_GB2312"/>
          <w:color w:val="000000"/>
          <w:sz w:val="32"/>
          <w:szCs w:val="32"/>
          <w:lang w:val="en-US" w:eastAsia="zh-CN"/>
        </w:rPr>
        <w:t>民建嘉兴市委会</w:t>
      </w:r>
      <w:r>
        <w:rPr>
          <w:rFonts w:hint="eastAsia" w:ascii="仿宋_GB2312" w:eastAsia="仿宋_GB2312"/>
          <w:color w:val="000000"/>
          <w:sz w:val="32"/>
          <w:szCs w:val="32"/>
        </w:rPr>
        <w:t>所属预算单位政府采购预算总额</w:t>
      </w:r>
      <w:r>
        <w:rPr>
          <w:rFonts w:hint="eastAsia" w:ascii="仿宋_GB2312" w:eastAsia="仿宋_GB2312"/>
          <w:color w:val="000000"/>
          <w:sz w:val="32"/>
          <w:szCs w:val="32"/>
          <w:lang w:val="en-US" w:eastAsia="zh-CN"/>
        </w:rPr>
        <w:t>3.45</w:t>
      </w:r>
      <w:r>
        <w:rPr>
          <w:rFonts w:hint="eastAsia" w:ascii="仿宋_GB2312" w:eastAsia="仿宋_GB2312"/>
          <w:color w:val="000000"/>
          <w:sz w:val="32"/>
          <w:szCs w:val="32"/>
        </w:rPr>
        <w:t>万元，其中：政府采购货物类预算</w:t>
      </w:r>
      <w:r>
        <w:rPr>
          <w:rFonts w:hint="eastAsia" w:ascii="仿宋_GB2312" w:eastAsia="仿宋_GB2312"/>
          <w:color w:val="000000"/>
          <w:sz w:val="32"/>
          <w:szCs w:val="32"/>
          <w:lang w:val="en-US" w:eastAsia="zh-CN"/>
        </w:rPr>
        <w:t>2.45</w:t>
      </w:r>
      <w:r>
        <w:rPr>
          <w:rFonts w:hint="eastAsia" w:ascii="仿宋_GB2312" w:eastAsia="仿宋_GB2312"/>
          <w:color w:val="000000"/>
          <w:sz w:val="32"/>
          <w:szCs w:val="32"/>
        </w:rPr>
        <w:t>万元、政府采购工程类预算</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万元、政府采购服务类预算</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万元。</w:t>
      </w:r>
    </w:p>
    <w:p>
      <w:pPr>
        <w:pStyle w:val="8"/>
        <w:widowControl w:val="0"/>
        <w:spacing w:line="560" w:lineRule="exact"/>
        <w:ind w:firstLine="642"/>
        <w:rPr>
          <w:rFonts w:ascii="仿宋_GB2312" w:eastAsia="仿宋_GB2312"/>
          <w:sz w:val="32"/>
          <w:szCs w:val="32"/>
        </w:rPr>
      </w:pPr>
      <w:r>
        <w:rPr>
          <w:rFonts w:hint="eastAsia" w:ascii="仿宋_GB2312" w:eastAsia="仿宋_GB2312"/>
          <w:b/>
          <w:bCs/>
          <w:sz w:val="32"/>
          <w:szCs w:val="32"/>
        </w:rPr>
        <w:t>3.国有资产占有使用情况</w:t>
      </w:r>
      <w:r>
        <w:rPr>
          <w:rFonts w:hint="eastAsia" w:ascii="仿宋_GB2312" w:eastAsia="仿宋_GB2312"/>
          <w:sz w:val="32"/>
          <w:szCs w:val="32"/>
        </w:rPr>
        <w:t xml:space="preserve">    </w:t>
      </w:r>
    </w:p>
    <w:p>
      <w:pPr>
        <w:pStyle w:val="8"/>
        <w:widowControl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截至2019年12月31日，</w:t>
      </w:r>
      <w:r>
        <w:rPr>
          <w:rFonts w:hint="eastAsia" w:ascii="仿宋_GB2312" w:eastAsia="仿宋_GB2312"/>
          <w:color w:val="000000"/>
          <w:sz w:val="32"/>
          <w:szCs w:val="32"/>
          <w:lang w:val="en-US" w:eastAsia="zh-CN"/>
        </w:rPr>
        <w:t>民建嘉兴市委会</w:t>
      </w:r>
      <w:r>
        <w:rPr>
          <w:rFonts w:hint="eastAsia" w:ascii="仿宋_GB2312" w:eastAsia="仿宋_GB2312"/>
          <w:color w:val="000000"/>
          <w:sz w:val="32"/>
          <w:szCs w:val="32"/>
        </w:rPr>
        <w:t>所属各预算单位共有车辆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辆。单位价值50万元以上通用设备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台（套），单位价值100万元以上专用设备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pStyle w:val="8"/>
        <w:widowControl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2020年部门预算未安排购置车辆、单位价值50万元以上通用设备及单位价值100万元以上专用设备。</w:t>
      </w:r>
    </w:p>
    <w:p>
      <w:pPr>
        <w:pStyle w:val="8"/>
        <w:widowControl w:val="0"/>
        <w:spacing w:line="560" w:lineRule="exact"/>
        <w:rPr>
          <w:rFonts w:ascii="仿宋_GB2312" w:eastAsia="仿宋_GB2312"/>
          <w:b/>
          <w:bCs/>
          <w:sz w:val="32"/>
          <w:szCs w:val="32"/>
        </w:rPr>
      </w:pPr>
      <w:r>
        <w:rPr>
          <w:rFonts w:hint="eastAsia" w:ascii="仿宋_GB2312" w:eastAsia="仿宋_GB2312"/>
          <w:b/>
          <w:bCs/>
          <w:sz w:val="32"/>
          <w:szCs w:val="32"/>
        </w:rPr>
        <w:t xml:space="preserve">    4.绩效目标设置情况</w:t>
      </w:r>
    </w:p>
    <w:p>
      <w:pPr>
        <w:pStyle w:val="8"/>
        <w:widowControl w:val="0"/>
        <w:spacing w:line="560" w:lineRule="exact"/>
        <w:ind w:firstLine="480" w:firstLineChars="150"/>
        <w:rPr>
          <w:rFonts w:ascii="仿宋_GB2312" w:eastAsia="仿宋_GB2312"/>
          <w:color w:val="000000"/>
          <w:sz w:val="32"/>
          <w:szCs w:val="32"/>
        </w:rPr>
      </w:pPr>
      <w:r>
        <w:rPr>
          <w:rFonts w:hint="eastAsia" w:ascii="仿宋_GB2312" w:eastAsia="仿宋_GB2312"/>
          <w:color w:val="000000"/>
          <w:sz w:val="32"/>
          <w:szCs w:val="32"/>
        </w:rPr>
        <w:t>（1）预算绩效目标总体情况。</w:t>
      </w:r>
      <w:r>
        <w:rPr>
          <w:rFonts w:ascii="仿宋_GB2312" w:eastAsia="仿宋_GB2312"/>
          <w:color w:val="000000"/>
          <w:sz w:val="32"/>
          <w:szCs w:val="32"/>
        </w:rPr>
        <w:t>2020</w:t>
      </w:r>
      <w:r>
        <w:rPr>
          <w:rFonts w:hint="eastAsia" w:ascii="仿宋_GB2312" w:eastAsia="仿宋_GB2312"/>
          <w:color w:val="000000"/>
          <w:sz w:val="32"/>
          <w:szCs w:val="32"/>
        </w:rPr>
        <w:t>年全部项目支出均实行绩效目标管理，涉及一般公共预算收入安排的支出</w:t>
      </w:r>
      <w:r>
        <w:rPr>
          <w:rFonts w:hint="eastAsia" w:ascii="仿宋_GB2312" w:eastAsia="仿宋_GB2312"/>
          <w:color w:val="000000"/>
          <w:sz w:val="32"/>
          <w:szCs w:val="32"/>
          <w:lang w:val="en-US" w:eastAsia="zh-CN"/>
        </w:rPr>
        <w:t>22.95</w:t>
      </w:r>
      <w:r>
        <w:rPr>
          <w:rFonts w:hint="eastAsia" w:ascii="仿宋_GB2312" w:eastAsia="仿宋_GB2312"/>
          <w:color w:val="000000"/>
          <w:sz w:val="32"/>
          <w:szCs w:val="32"/>
        </w:rPr>
        <w:t>万元。</w:t>
      </w:r>
    </w:p>
    <w:p>
      <w:pPr>
        <w:pStyle w:val="8"/>
        <w:widowControl w:val="0"/>
        <w:spacing w:line="560" w:lineRule="exact"/>
        <w:ind w:firstLine="480" w:firstLineChars="150"/>
        <w:rPr>
          <w:rFonts w:ascii="仿宋_GB2312" w:eastAsia="仿宋_GB2312"/>
          <w:color w:val="000000"/>
          <w:sz w:val="32"/>
          <w:szCs w:val="32"/>
        </w:rPr>
      </w:pPr>
      <w:r>
        <w:rPr>
          <w:rFonts w:hint="eastAsia" w:ascii="仿宋_GB2312" w:eastAsia="仿宋_GB2312"/>
          <w:color w:val="000000"/>
          <w:sz w:val="32"/>
          <w:szCs w:val="32"/>
        </w:rPr>
        <w:t>（2）重点项目预算绩效目标情况。2020年重点项目</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个，财政拨款支出预算</w:t>
      </w:r>
      <w:r>
        <w:rPr>
          <w:rFonts w:hint="eastAsia" w:ascii="仿宋_GB2312" w:eastAsia="仿宋_GB2312"/>
          <w:color w:val="000000"/>
          <w:sz w:val="32"/>
          <w:szCs w:val="32"/>
          <w:lang w:val="en-US" w:eastAsia="zh-CN"/>
        </w:rPr>
        <w:t>22.50</w:t>
      </w:r>
      <w:r>
        <w:rPr>
          <w:rFonts w:hint="eastAsia" w:ascii="仿宋_GB2312" w:eastAsia="仿宋_GB2312"/>
          <w:color w:val="000000"/>
          <w:sz w:val="32"/>
          <w:szCs w:val="32"/>
        </w:rPr>
        <w:t>万元，涉及一般公共预算收入安排的支出</w:t>
      </w:r>
      <w:r>
        <w:rPr>
          <w:rFonts w:hint="eastAsia" w:ascii="仿宋_GB2312" w:eastAsia="仿宋_GB2312"/>
          <w:color w:val="000000"/>
          <w:sz w:val="32"/>
          <w:szCs w:val="32"/>
          <w:lang w:val="en-US" w:eastAsia="zh-CN"/>
        </w:rPr>
        <w:t>22.50</w:t>
      </w:r>
      <w:r>
        <w:rPr>
          <w:rFonts w:hint="eastAsia" w:ascii="仿宋_GB2312" w:eastAsia="仿宋_GB2312"/>
          <w:color w:val="000000"/>
          <w:sz w:val="32"/>
          <w:szCs w:val="32"/>
        </w:rPr>
        <w:t>万元。</w:t>
      </w:r>
    </w:p>
    <w:p>
      <w:pPr>
        <w:pStyle w:val="8"/>
        <w:widowControl w:val="0"/>
        <w:spacing w:line="560" w:lineRule="exact"/>
        <w:ind w:firstLine="645"/>
        <w:rPr>
          <w:rFonts w:ascii="仿宋_GB2312" w:eastAsia="仿宋_GB2312"/>
          <w:b/>
          <w:bCs/>
          <w:sz w:val="32"/>
          <w:szCs w:val="32"/>
        </w:rPr>
      </w:pPr>
      <w:r>
        <w:rPr>
          <w:rFonts w:hint="eastAsia" w:ascii="仿宋_GB2312" w:eastAsia="仿宋_GB2312"/>
          <w:b/>
          <w:bCs/>
          <w:sz w:val="32"/>
          <w:szCs w:val="32"/>
        </w:rPr>
        <w:t>5.扶贫资金安排情况</w:t>
      </w:r>
    </w:p>
    <w:p>
      <w:pPr>
        <w:pStyle w:val="8"/>
        <w:widowControl w:val="0"/>
        <w:spacing w:line="560" w:lineRule="exac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color w:val="000000"/>
          <w:sz w:val="32"/>
          <w:szCs w:val="32"/>
          <w:lang w:val="en-US" w:eastAsia="zh-CN"/>
        </w:rPr>
        <w:t>民建嘉兴市委</w:t>
      </w:r>
      <w:r>
        <w:rPr>
          <w:rFonts w:hint="eastAsia" w:ascii="仿宋_GB2312" w:eastAsia="仿宋_GB2312"/>
          <w:color w:val="000000"/>
          <w:sz w:val="32"/>
          <w:szCs w:val="32"/>
          <w:lang w:eastAsia="zh-CN"/>
        </w:rPr>
        <w:t>会</w:t>
      </w:r>
      <w:r>
        <w:rPr>
          <w:rFonts w:ascii="仿宋_GB2312" w:eastAsia="仿宋_GB2312"/>
          <w:color w:val="000000"/>
          <w:sz w:val="32"/>
          <w:szCs w:val="32"/>
        </w:rPr>
        <w:t>2020</w:t>
      </w:r>
      <w:r>
        <w:rPr>
          <w:rFonts w:hint="eastAsia" w:ascii="仿宋_GB2312" w:eastAsia="仿宋_GB2312"/>
          <w:color w:val="000000"/>
          <w:sz w:val="32"/>
          <w:szCs w:val="32"/>
        </w:rPr>
        <w:t>年没有安排扶贫资金支出。</w:t>
      </w:r>
    </w:p>
    <w:p>
      <w:pPr>
        <w:pStyle w:val="8"/>
        <w:widowControl w:val="0"/>
        <w:spacing w:line="560" w:lineRule="exact"/>
        <w:ind w:firstLine="640" w:firstLineChars="200"/>
        <w:rPr>
          <w:rStyle w:val="7"/>
          <w:rFonts w:ascii="黑体" w:hAnsi="黑体" w:eastAsia="黑体" w:cs="黑体"/>
          <w:b w:val="0"/>
          <w:sz w:val="32"/>
          <w:szCs w:val="32"/>
        </w:rPr>
      </w:pPr>
      <w:r>
        <w:rPr>
          <w:rStyle w:val="7"/>
          <w:rFonts w:hint="eastAsia" w:ascii="黑体" w:hAnsi="黑体" w:eastAsia="黑体" w:cs="黑体"/>
          <w:b w:val="0"/>
          <w:sz w:val="32"/>
          <w:szCs w:val="32"/>
        </w:rPr>
        <w:t>三、名词解释</w:t>
      </w:r>
    </w:p>
    <w:p>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eastAsia="仿宋_GB2312"/>
          <w:color w:val="000000"/>
          <w:sz w:val="32"/>
          <w:szCs w:val="32"/>
        </w:rPr>
      </w:pPr>
      <w:r>
        <w:rPr>
          <w:rFonts w:hint="eastAsia" w:ascii="仿宋_GB2312" w:eastAsia="仿宋_GB2312"/>
          <w:color w:val="000000"/>
          <w:sz w:val="32"/>
          <w:szCs w:val="32"/>
        </w:rPr>
        <w:t xml:space="preserve">    1.财政拨款收入：本级财政部门当年拨付的财政预算资金，包括一般公共预算财政拨款和政府性基金预算财政拨款。</w:t>
      </w:r>
    </w:p>
    <w:p>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eastAsia="仿宋_GB2312"/>
          <w:color w:val="000000"/>
          <w:sz w:val="32"/>
          <w:szCs w:val="32"/>
        </w:rPr>
      </w:pPr>
      <w:r>
        <w:rPr>
          <w:rFonts w:hint="eastAsia" w:ascii="仿宋_GB2312" w:eastAsia="仿宋_GB2312"/>
          <w:color w:val="000000"/>
          <w:sz w:val="32"/>
          <w:szCs w:val="32"/>
        </w:rPr>
        <w:t xml:space="preserve">    2.当年纳入专户管理的收入:教育收费作为本部门的事业收入，纳入财政专户管理的资金。</w:t>
      </w:r>
    </w:p>
    <w:p>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eastAsia="仿宋_GB2312"/>
          <w:color w:val="000000"/>
          <w:sz w:val="32"/>
          <w:szCs w:val="32"/>
        </w:rPr>
      </w:pPr>
      <w:r>
        <w:rPr>
          <w:rFonts w:hint="eastAsia" w:ascii="仿宋_GB2312" w:eastAsia="仿宋_GB2312"/>
          <w:color w:val="000000"/>
          <w:sz w:val="32"/>
          <w:szCs w:val="32"/>
        </w:rPr>
        <w:t xml:space="preserve">    3.事业收入（单位留用）：事业单位开展专业业务活动及辅助活动所取得的收入，不含专户资金收入。</w:t>
      </w:r>
    </w:p>
    <w:p>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eastAsia="仿宋_GB2312"/>
          <w:color w:val="000000"/>
          <w:sz w:val="32"/>
          <w:szCs w:val="32"/>
        </w:rPr>
      </w:pPr>
      <w:r>
        <w:rPr>
          <w:rFonts w:hint="eastAsia" w:ascii="仿宋_GB2312" w:eastAsia="仿宋_GB2312"/>
          <w:color w:val="000000"/>
          <w:sz w:val="32"/>
          <w:szCs w:val="32"/>
        </w:rPr>
        <w:t xml:space="preserve">    4.经营收入：事业单位在专业业务活动及辅助活动之外开展非独立核算经营活动取得的收入。</w:t>
      </w:r>
    </w:p>
    <w:p>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eastAsia="仿宋_GB2312"/>
          <w:color w:val="000000"/>
          <w:sz w:val="32"/>
          <w:szCs w:val="32"/>
        </w:rPr>
      </w:pPr>
      <w:r>
        <w:rPr>
          <w:rFonts w:hint="eastAsia" w:ascii="仿宋_GB2312" w:eastAsia="仿宋_GB2312"/>
          <w:color w:val="000000"/>
          <w:sz w:val="32"/>
          <w:szCs w:val="32"/>
        </w:rPr>
        <w:t xml:space="preserve">    5.其他收入：预算单位在“一般公共预算”“政府性基金”“专户资金”“事业收入”“经营收入”等之外取得的各项收入。</w:t>
      </w:r>
    </w:p>
    <w:p>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eastAsia="仿宋_GB2312"/>
          <w:color w:val="000000"/>
          <w:sz w:val="32"/>
          <w:szCs w:val="32"/>
        </w:rPr>
      </w:pPr>
      <w:r>
        <w:rPr>
          <w:rFonts w:hint="eastAsia" w:ascii="仿宋_GB2312" w:eastAsia="仿宋_GB2312"/>
          <w:color w:val="000000"/>
          <w:sz w:val="32"/>
          <w:szCs w:val="32"/>
        </w:rPr>
        <w:t xml:space="preserve">    6.用事业基金弥补收支差额：指事业单位在预计用当年的“财政拨款收入”“专户资金”“事业收入”“经营收入”“其他收入”“以前年度结余资金”等不足以安排当年支出的情况下，使用以前年度积累的事业基金弥补本年收支缺口的资金。</w:t>
      </w:r>
    </w:p>
    <w:p>
      <w:pPr>
        <w:pStyle w:val="8"/>
        <w:widowControl w:val="0"/>
        <w:spacing w:line="56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rPr>
        <w:t>7.以前年度结余资金收入：指以前年度形成的留在预算单位实有资金账户上的财政补助结余结转资金。</w:t>
      </w:r>
    </w:p>
    <w:p>
      <w:pPr>
        <w:pStyle w:val="8"/>
        <w:widowControl w:val="0"/>
        <w:spacing w:line="56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rPr>
        <w:t>8.基本支出：是预算单位为保障其正常运转，完成日常工作任务所发生的支出，包括人员支出和日常公用支出。</w:t>
      </w:r>
    </w:p>
    <w:p>
      <w:pPr>
        <w:pStyle w:val="8"/>
        <w:widowControl w:val="0"/>
        <w:spacing w:line="56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rPr>
        <w:t>9.项目支出：是预算单位为完成其特定的行政工作任务或事业发展目标所发生的支出。</w:t>
      </w:r>
    </w:p>
    <w:p>
      <w:pPr>
        <w:pStyle w:val="8"/>
        <w:widowControl w:val="0"/>
        <w:spacing w:line="56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rPr>
        <w:t>10.经营支出：指事业单位在专业业务活动及其辅助活动之外开展非独立核算经营活动发生的支出。</w:t>
      </w:r>
    </w:p>
    <w:p>
      <w:pPr>
        <w:pStyle w:val="8"/>
        <w:widowControl w:val="0"/>
        <w:spacing w:line="56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rPr>
        <w:t>11.“三公”经费：纳入财政预决算管理的“三公”经费，是指部门用一般公共预算财政拨款安排的因公出国（境）费、公务用车购置及运行费和公务接待费。其中，因公出国（境）费反映单位公务出国（境）的国际旅费、国外城市间交通费、住宿费、伙食费、培训费、公杂费等支出，不含教学科研人员学术交流；公务用车购置及运行费反映单位公务用车车辆购置支出（含车辆购置税）及燃费、维修费、过桥过路费、保险费、安全奖励费用等支出；公务接待费反映单位按规定开支的各类公务接待（含外宾接待）支出。</w:t>
      </w:r>
    </w:p>
    <w:p>
      <w:pPr>
        <w:pStyle w:val="8"/>
        <w:widowControl w:val="0"/>
        <w:spacing w:line="56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rPr>
        <w:t>12.机关运行经费：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8"/>
        <w:widowControl w:val="0"/>
        <w:spacing w:line="56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.一般公共服务支出（类）民主党派及工商联事务（款）行政运行（项），指行政单位（包括实行公务员管理的事业单位）的基本支出。</w:t>
      </w:r>
    </w:p>
    <w:p>
      <w:pPr>
        <w:pStyle w:val="8"/>
        <w:widowControl w:val="0"/>
        <w:spacing w:line="56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.一般公共服务支出（类）民主党派及工商联事务（款）一般行政管理事务（项），指行政单位（包括实行公务员管理的事业单位）未单独设置项级科目的其他项目支出。</w:t>
      </w:r>
    </w:p>
    <w:p>
      <w:pPr>
        <w:pStyle w:val="8"/>
        <w:widowControl w:val="0"/>
        <w:spacing w:line="56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.社会保障和就业支出（类）行政事业单位离退休（款）未归口管理的行政单位离退休（项），指行政单位（包括实行公务员管理的事业单位）开支的离退休经费。</w:t>
      </w:r>
    </w:p>
    <w:p>
      <w:pPr>
        <w:pStyle w:val="8"/>
        <w:widowControl w:val="0"/>
        <w:spacing w:line="56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.社会保障和就业支出（类）行政事业单位离退休（款）机关事业单位基本养老保险缴费支出（项），指机关事业单位实施养老保险制度由单位缴纳的基本养老保险缴费支出。</w:t>
      </w:r>
    </w:p>
    <w:p>
      <w:pPr>
        <w:pStyle w:val="8"/>
        <w:widowControl w:val="0"/>
        <w:spacing w:line="56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.社会保障和就业支出（类）行政事业单位离退休（款）机关事业单位职业年金缴费支出（项），指机关事业单位实施养老保险制度由单位实际缴纳的职业年金支出</w:t>
      </w:r>
    </w:p>
    <w:p>
      <w:pPr>
        <w:pStyle w:val="8"/>
        <w:widowControl w:val="0"/>
        <w:spacing w:line="56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.住房保障支出（类）住房改革支出（款）住房公积金（项），指行政事业单位按人力资源和社会保障部、财政部规定的基本工资和津贴补贴以及规定比例为职工缴纳的住房公积金。</w:t>
      </w:r>
    </w:p>
    <w:p>
      <w:pPr>
        <w:spacing w:line="560" w:lineRule="exact"/>
        <w:ind w:firstLine="640" w:firstLineChars="200"/>
        <w:jc w:val="left"/>
        <w:rPr>
          <w:rFonts w:ascii="仿宋" w:hAnsi="仿宋" w:eastAsia="仿宋"/>
          <w:sz w:val="32"/>
          <w:szCs w:val="32"/>
        </w:rPr>
      </w:pPr>
    </w:p>
    <w:p>
      <w:pPr>
        <w:spacing w:line="560" w:lineRule="exact"/>
        <w:ind w:right="632"/>
        <w:jc w:val="left"/>
        <w:rPr>
          <w:rFonts w:ascii="仿宋_GB2312" w:eastAsia="仿宋_GB2312"/>
          <w:sz w:val="32"/>
          <w:szCs w:val="32"/>
        </w:rPr>
      </w:pPr>
    </w:p>
    <w:sectPr>
      <w:headerReference r:id="rId3" w:type="default"/>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3F62F"/>
    <w:multiLevelType w:val="singleLevel"/>
    <w:tmpl w:val="5893F62F"/>
    <w:lvl w:ilvl="0" w:tentative="0">
      <w:start w:val="2"/>
      <w:numFmt w:val="decimal"/>
      <w:suff w:val="nothing"/>
      <w:lvlText w:val="%1."/>
      <w:lvlJc w:val="left"/>
    </w:lvl>
  </w:abstractNum>
  <w:abstractNum w:abstractNumId="1">
    <w:nsid w:val="5895A6FC"/>
    <w:multiLevelType w:val="singleLevel"/>
    <w:tmpl w:val="5895A6FC"/>
    <w:lvl w:ilvl="0" w:tentative="0">
      <w:start w:val="2"/>
      <w:numFmt w:val="chineseCounting"/>
      <w:suff w:val="nothing"/>
      <w:lvlText w:val="%1、"/>
      <w:lvlJc w:val="left"/>
    </w:lvl>
  </w:abstractNum>
  <w:abstractNum w:abstractNumId="2">
    <w:nsid w:val="5895A99C"/>
    <w:multiLevelType w:val="singleLevel"/>
    <w:tmpl w:val="5895A99C"/>
    <w:lvl w:ilvl="0" w:tentative="0">
      <w:start w:val="5"/>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B067A"/>
    <w:rsid w:val="00012C8E"/>
    <w:rsid w:val="00015B57"/>
    <w:rsid w:val="00043048"/>
    <w:rsid w:val="000729B1"/>
    <w:rsid w:val="000E08CE"/>
    <w:rsid w:val="000E1438"/>
    <w:rsid w:val="000E52D7"/>
    <w:rsid w:val="000F44CA"/>
    <w:rsid w:val="000F507F"/>
    <w:rsid w:val="00134EF3"/>
    <w:rsid w:val="0014662C"/>
    <w:rsid w:val="0018145F"/>
    <w:rsid w:val="00190311"/>
    <w:rsid w:val="0019391C"/>
    <w:rsid w:val="001A59DA"/>
    <w:rsid w:val="001C19DC"/>
    <w:rsid w:val="001F75BA"/>
    <w:rsid w:val="00233DCB"/>
    <w:rsid w:val="00262DA4"/>
    <w:rsid w:val="00263D02"/>
    <w:rsid w:val="002861ED"/>
    <w:rsid w:val="002B067A"/>
    <w:rsid w:val="002B53D6"/>
    <w:rsid w:val="002C379F"/>
    <w:rsid w:val="002C5ED5"/>
    <w:rsid w:val="002D3237"/>
    <w:rsid w:val="002E4904"/>
    <w:rsid w:val="002E600D"/>
    <w:rsid w:val="00314A59"/>
    <w:rsid w:val="00317F62"/>
    <w:rsid w:val="00333648"/>
    <w:rsid w:val="003701D1"/>
    <w:rsid w:val="00377BC7"/>
    <w:rsid w:val="003820DD"/>
    <w:rsid w:val="003A2578"/>
    <w:rsid w:val="003A5C48"/>
    <w:rsid w:val="003B274B"/>
    <w:rsid w:val="003C7490"/>
    <w:rsid w:val="003D0679"/>
    <w:rsid w:val="003E79EF"/>
    <w:rsid w:val="003F5439"/>
    <w:rsid w:val="004343BA"/>
    <w:rsid w:val="0045419D"/>
    <w:rsid w:val="004A4D21"/>
    <w:rsid w:val="004B1118"/>
    <w:rsid w:val="004C1799"/>
    <w:rsid w:val="004C1DBC"/>
    <w:rsid w:val="004E6F94"/>
    <w:rsid w:val="00515FC0"/>
    <w:rsid w:val="0052315F"/>
    <w:rsid w:val="00527944"/>
    <w:rsid w:val="00564A78"/>
    <w:rsid w:val="00582C84"/>
    <w:rsid w:val="005B270C"/>
    <w:rsid w:val="005C7098"/>
    <w:rsid w:val="005F67AD"/>
    <w:rsid w:val="006016B6"/>
    <w:rsid w:val="00602315"/>
    <w:rsid w:val="00623272"/>
    <w:rsid w:val="006258EC"/>
    <w:rsid w:val="00631F61"/>
    <w:rsid w:val="00651BF6"/>
    <w:rsid w:val="00677C21"/>
    <w:rsid w:val="00680673"/>
    <w:rsid w:val="00695F78"/>
    <w:rsid w:val="006A3158"/>
    <w:rsid w:val="006A3516"/>
    <w:rsid w:val="006D6F66"/>
    <w:rsid w:val="007324C2"/>
    <w:rsid w:val="00733955"/>
    <w:rsid w:val="007525B8"/>
    <w:rsid w:val="00773C67"/>
    <w:rsid w:val="007904F0"/>
    <w:rsid w:val="007C451A"/>
    <w:rsid w:val="007D444E"/>
    <w:rsid w:val="007E715E"/>
    <w:rsid w:val="007F02FE"/>
    <w:rsid w:val="00807033"/>
    <w:rsid w:val="00845A3A"/>
    <w:rsid w:val="00872860"/>
    <w:rsid w:val="008A6481"/>
    <w:rsid w:val="008B6FC7"/>
    <w:rsid w:val="008D7302"/>
    <w:rsid w:val="008F6478"/>
    <w:rsid w:val="00982A79"/>
    <w:rsid w:val="00991336"/>
    <w:rsid w:val="00996434"/>
    <w:rsid w:val="009B00FE"/>
    <w:rsid w:val="00A0639C"/>
    <w:rsid w:val="00A11697"/>
    <w:rsid w:val="00A121DA"/>
    <w:rsid w:val="00A25B71"/>
    <w:rsid w:val="00A62F13"/>
    <w:rsid w:val="00A73437"/>
    <w:rsid w:val="00AA3EA0"/>
    <w:rsid w:val="00AC6334"/>
    <w:rsid w:val="00AE55E3"/>
    <w:rsid w:val="00AE6C64"/>
    <w:rsid w:val="00B11B9C"/>
    <w:rsid w:val="00B1409A"/>
    <w:rsid w:val="00B204C1"/>
    <w:rsid w:val="00B34114"/>
    <w:rsid w:val="00B96240"/>
    <w:rsid w:val="00BC1F86"/>
    <w:rsid w:val="00BF1C0A"/>
    <w:rsid w:val="00BF7AF4"/>
    <w:rsid w:val="00C530CC"/>
    <w:rsid w:val="00C96DF9"/>
    <w:rsid w:val="00CC7716"/>
    <w:rsid w:val="00CD0B4F"/>
    <w:rsid w:val="00CD2585"/>
    <w:rsid w:val="00CF539B"/>
    <w:rsid w:val="00D506C0"/>
    <w:rsid w:val="00D64CEA"/>
    <w:rsid w:val="00D86B46"/>
    <w:rsid w:val="00D911D4"/>
    <w:rsid w:val="00DA40CA"/>
    <w:rsid w:val="00DA62BE"/>
    <w:rsid w:val="00DB4762"/>
    <w:rsid w:val="00DC763F"/>
    <w:rsid w:val="00E016C0"/>
    <w:rsid w:val="00E231D9"/>
    <w:rsid w:val="00E465F1"/>
    <w:rsid w:val="00E651C7"/>
    <w:rsid w:val="00EB5021"/>
    <w:rsid w:val="00EC480B"/>
    <w:rsid w:val="00ED1D9D"/>
    <w:rsid w:val="00ED51F7"/>
    <w:rsid w:val="00EF20E3"/>
    <w:rsid w:val="00F12350"/>
    <w:rsid w:val="00F2650A"/>
    <w:rsid w:val="00F3427D"/>
    <w:rsid w:val="00F50061"/>
    <w:rsid w:val="00F50E0F"/>
    <w:rsid w:val="00F67571"/>
    <w:rsid w:val="00F7255B"/>
    <w:rsid w:val="00FA7E45"/>
    <w:rsid w:val="00FC12E7"/>
    <w:rsid w:val="00FC7194"/>
    <w:rsid w:val="00FC75EB"/>
    <w:rsid w:val="00FE2C7B"/>
    <w:rsid w:val="00FE43B5"/>
    <w:rsid w:val="00FE77B0"/>
    <w:rsid w:val="00FF4C59"/>
    <w:rsid w:val="09FD3CEA"/>
    <w:rsid w:val="0C0D44FB"/>
    <w:rsid w:val="11BD2C2D"/>
    <w:rsid w:val="36AA10EB"/>
    <w:rsid w:val="3D435ECC"/>
    <w:rsid w:val="454B5E11"/>
    <w:rsid w:val="52EF7A58"/>
    <w:rsid w:val="6D5234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szCs w:val="24"/>
    </w:rPr>
  </w:style>
  <w:style w:type="paragraph" w:customStyle="1" w:styleId="8">
    <w:name w:val="p0"/>
    <w:basedOn w:val="1"/>
    <w:qFormat/>
    <w:uiPriority w:val="0"/>
    <w:pPr>
      <w:widowControl/>
    </w:pPr>
    <w:rPr>
      <w:kern w:val="0"/>
      <w:szCs w:val="21"/>
    </w:rPr>
  </w:style>
  <w:style w:type="paragraph" w:customStyle="1" w:styleId="9">
    <w:name w:val="Char"/>
    <w:basedOn w:val="1"/>
    <w:qFormat/>
    <w:uiPriority w:val="0"/>
    <w:rPr>
      <w:szCs w:val="24"/>
    </w:rPr>
  </w:style>
  <w:style w:type="character" w:customStyle="1" w:styleId="10">
    <w:name w:val="页眉 Char"/>
    <w:basedOn w:val="6"/>
    <w:link w:val="4"/>
    <w:semiHidden/>
    <w:qFormat/>
    <w:uiPriority w:val="99"/>
    <w:rPr>
      <w:rFonts w:ascii="Times New Roman" w:hAnsi="Times New Roman" w:eastAsia="宋体" w:cs="Times New Roman"/>
      <w:sz w:val="18"/>
      <w:szCs w:val="18"/>
    </w:rPr>
  </w:style>
  <w:style w:type="character" w:customStyle="1" w:styleId="11">
    <w:name w:val="页脚 Char"/>
    <w:basedOn w:val="6"/>
    <w:link w:val="3"/>
    <w:semiHidden/>
    <w:qFormat/>
    <w:uiPriority w:val="99"/>
    <w:rPr>
      <w:rFonts w:ascii="Times New Roman" w:hAnsi="Times New Roman" w:eastAsia="宋体" w:cs="Times New Roman"/>
      <w:sz w:val="18"/>
      <w:szCs w:val="18"/>
    </w:rPr>
  </w:style>
  <w:style w:type="paragraph" w:customStyle="1" w:styleId="12">
    <w:name w:val="Char1"/>
    <w:basedOn w:val="1"/>
    <w:qFormat/>
    <w:uiPriority w:val="0"/>
    <w:rPr>
      <w:szCs w:val="24"/>
    </w:rPr>
  </w:style>
  <w:style w:type="character" w:customStyle="1" w:styleId="13">
    <w:name w:val="批注框文本 Char"/>
    <w:basedOn w:val="6"/>
    <w:link w:val="2"/>
    <w:semiHidden/>
    <w:qFormat/>
    <w:uiPriority w:val="99"/>
    <w:rPr>
      <w:rFonts w:ascii="Times New Roman" w:hAnsi="Times New Roman" w:eastAsia="宋体" w:cs="Times New Roman"/>
      <w:sz w:val="18"/>
      <w:szCs w:val="18"/>
    </w:rPr>
  </w:style>
  <w:style w:type="paragraph" w:customStyle="1" w:styleId="14">
    <w:name w:val="Default"/>
    <w:qFormat/>
    <w:uiPriority w:val="0"/>
    <w:pPr>
      <w:widowControl w:val="0"/>
      <w:autoSpaceDE w:val="0"/>
      <w:autoSpaceDN w:val="0"/>
      <w:adjustRightInd w:val="0"/>
    </w:pPr>
    <w:rPr>
      <w:rFonts w:hint="eastAsia" w:ascii="仿宋_GB2312" w:hAnsi="仿宋_GB2312" w:eastAsia="仿宋_GB2312" w:cs="Times New Roman"/>
      <w:color w:val="000000"/>
      <w:kern w:val="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30E3A7-9C0D-4213-BBAC-B7934644A4BA}">
  <ds:schemaRefs/>
</ds:datastoreItem>
</file>

<file path=docProps/app.xml><?xml version="1.0" encoding="utf-8"?>
<Properties xmlns="http://schemas.openxmlformats.org/officeDocument/2006/extended-properties" xmlns:vt="http://schemas.openxmlformats.org/officeDocument/2006/docPropsVTypes">
  <Template>Normal</Template>
  <Company>新丰财政所</Company>
  <Pages>8</Pages>
  <Words>597</Words>
  <Characters>3409</Characters>
  <Lines>28</Lines>
  <Paragraphs>7</Paragraphs>
  <TotalTime>1</TotalTime>
  <ScaleCrop>false</ScaleCrop>
  <LinksUpToDate>false</LinksUpToDate>
  <CharactersWithSpaces>3999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2020-05-28T08:47:00Z</dcterms:created>
  <dc:creator>曹庆峰</dc:creator>
  <cp:lastModifiedBy>Щu Уun</cp:lastModifiedBy>
  <dcterms:modified xsi:type="dcterms:W3CDTF">2020-06-01T01:22:58Z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